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</w:t>
      </w:r>
      <w:r>
        <w:rPr>
          <w:rFonts w:hint="default"/>
          <w:b/>
          <w:bCs/>
          <w:sz w:val="32"/>
          <w:szCs w:val="36"/>
          <w:lang w:val="en-US"/>
        </w:rPr>
        <w:t xml:space="preserve">EV </w:t>
      </w:r>
      <w:r>
        <w:rPr>
          <w:b/>
          <w:bCs/>
          <w:sz w:val="32"/>
          <w:szCs w:val="36"/>
          <w:lang w:val="en-US"/>
        </w:rPr>
        <w:t>KEPUASAN MAHASISWA TERHADAP LAYANAN DAN PROSES PENDIDIKAN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 xml:space="preserve">SEMESTER GANJIL </w:t>
      </w:r>
      <w:bookmarkStart w:id="0" w:name="_GoBack"/>
      <w:bookmarkEnd w:id="0"/>
      <w:r>
        <w:rPr>
          <w:rFonts w:hint="default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rFonts w:hint="default"/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b/>
          <w:sz w:val="14"/>
        </w:rPr>
      </w:pPr>
    </w:p>
    <w:p>
      <w:pPr>
        <w:spacing w:before="95"/>
        <w:ind w:left="1269" w:right="145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b/>
          <w:sz w:val="36"/>
        </w:rPr>
      </w:pPr>
    </w:p>
    <w:p>
      <w:pPr>
        <w:pStyle w:val="5"/>
        <w:spacing w:before="5"/>
        <w:rPr>
          <w:b/>
          <w:sz w:val="38"/>
        </w:rPr>
      </w:pP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LAPORAN HASIL MO</w:t>
      </w:r>
      <w:r>
        <w:rPr>
          <w:rFonts w:hint="default" w:ascii="Times New Roman" w:hAnsi="Times New Roman" w:cs="Times New Roman"/>
          <w:color w:val="1F2023"/>
          <w:lang w:val="en-US"/>
        </w:rPr>
        <w:t>NEV</w:t>
      </w:r>
      <w:r>
        <w:rPr>
          <w:rFonts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KEPUASAN MAHASISWA TERHADAP LAYANAN DAN PROSES PENDIDIKAN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PROGRAM STUDI PGSD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UNIVERSITAS</w:t>
      </w:r>
      <w:r>
        <w:rPr>
          <w:rFonts w:ascii="Times New Roman" w:hAnsi="Times New Roman" w:cs="Times New Roman"/>
          <w:color w:val="1F2023"/>
        </w:rPr>
        <w:t xml:space="preserve"> QUALITY</w:t>
      </w:r>
      <w:r>
        <w:rPr>
          <w:rFonts w:ascii="Times New Roman" w:hAnsi="Times New Roman" w:cs="Times New Roman"/>
          <w:color w:val="1F2023"/>
          <w:spacing w:val="1"/>
        </w:rPr>
        <w:t xml:space="preserve"> </w:t>
      </w:r>
      <w:r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1F2023"/>
        </w:rPr>
        <w:t>SEMESTER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G</w:t>
      </w:r>
      <w:r>
        <w:rPr>
          <w:rFonts w:hint="default" w:ascii="Times New Roman" w:hAnsi="Times New Roman" w:cs="Times New Roman"/>
          <w:color w:val="1F2023"/>
          <w:lang w:val="en-US"/>
        </w:rPr>
        <w:t>ANJIL 2</w:t>
      </w:r>
      <w:r>
        <w:rPr>
          <w:rFonts w:ascii="Times New Roman" w:hAnsi="Times New Roman" w:cs="Times New Roman"/>
          <w:color w:val="1F2023"/>
        </w:rPr>
        <w:t>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7" w:after="1"/>
        <w:rPr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0 November 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</w:pPr>
      <w:r>
        <w:rPr>
          <w:spacing w:val="-1"/>
          <w:w w:val="110"/>
        </w:rPr>
        <w:t>KATA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PENGANTAR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dan Proses Pendidikan di lingkungan Prodi PGSD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</w:t>
      </w:r>
      <w:r>
        <w:t>0</w:t>
      </w:r>
      <w:r>
        <w:rPr>
          <w:rFonts w:hint="default"/>
          <w:lang w:val="en-US"/>
        </w:rPr>
        <w:t>/2021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Mahasiswa terhadap Layanan dan proses Pendidikan di lingkungan prodi PGSD</w:t>
      </w:r>
      <w:r>
        <w:rPr>
          <w:rFonts w:hint="default"/>
          <w:lang w:val="en-US"/>
        </w:rPr>
        <w:t xml:space="preserve"> </w:t>
      </w:r>
      <w:r>
        <w:rPr>
          <w:lang w:val="en-US"/>
        </w:rPr>
        <w:t>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rPr>
          <w:rFonts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27"/>
        <w:ind w:left="2003" w:right="2029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</w:rPr>
        <w:t>LAPORAN HASIL MON</w:t>
      </w:r>
      <w:r>
        <w:rPr>
          <w:rFonts w:hint="default" w:ascii="Times New Roman" w:hAnsi="Times New Roman" w:cs="Times New Roman"/>
          <w:color w:val="1F2023"/>
          <w:lang w:val="en-US"/>
        </w:rPr>
        <w:t xml:space="preserve">EV </w:t>
      </w:r>
      <w:r>
        <w:rPr>
          <w:rFonts w:ascii="Times New Roman" w:hAnsi="Times New Roman" w:cs="Times New Roman"/>
          <w:color w:val="1F2023"/>
          <w:lang w:val="en-US"/>
        </w:rPr>
        <w:t>TERHADAP KEPUASAN MAHASISWA DALAM LAYANAN DAN PROSES PENDIDIKAN</w:t>
      </w: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PRODI PGSD</w:t>
      </w:r>
    </w:p>
    <w:p>
      <w:pPr>
        <w:pStyle w:val="2"/>
        <w:spacing w:before="27"/>
        <w:ind w:left="2003" w:right="2029"/>
        <w:rPr>
          <w:rFonts w:ascii="Times New Roman" w:hAnsi="Times New Roman" w:cs="Times New Roman"/>
          <w:b w:val="0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UNIVERSITAS QUALI</w:t>
      </w:r>
      <w:r>
        <w:rPr>
          <w:rFonts w:ascii="Times New Roman" w:hAnsi="Times New Roman" w:cs="Times New Roman"/>
          <w:color w:val="1F2023"/>
          <w:lang w:val="en-US"/>
        </w:rPr>
        <w:t>TY BERASTAGI</w:t>
      </w:r>
    </w:p>
    <w:p>
      <w:pPr>
        <w:spacing w:before="1"/>
        <w:ind w:left="1422" w:right="1451"/>
        <w:jc w:val="center"/>
        <w:rPr>
          <w:rFonts w:hint="default"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color w:val="1F2023"/>
          <w:sz w:val="28"/>
        </w:rPr>
        <w:t>SEMESTER</w:t>
      </w:r>
      <w:r>
        <w:rPr>
          <w:rFonts w:ascii="Times New Roman" w:hAnsi="Times New Roman" w:cs="Times New Roman"/>
          <w:b/>
          <w:color w:val="1F2023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1F2023"/>
          <w:sz w:val="28"/>
          <w:lang w:val="en-US"/>
        </w:rPr>
        <w:t>G</w:t>
      </w:r>
      <w:r>
        <w:rPr>
          <w:rFonts w:hint="default" w:ascii="Times New Roman" w:hAnsi="Times New Roman" w:cs="Times New Roman"/>
          <w:b/>
          <w:color w:val="1F2023"/>
          <w:sz w:val="28"/>
          <w:lang w:val="en-US"/>
        </w:rPr>
        <w:t xml:space="preserve">ANJIL </w:t>
      </w:r>
      <w:r>
        <w:rPr>
          <w:rFonts w:ascii="Times New Roman" w:hAnsi="Times New Roman" w:cs="Times New Roman"/>
          <w:b/>
          <w:color w:val="1F2023"/>
          <w:sz w:val="28"/>
        </w:rPr>
        <w:t>20</w:t>
      </w:r>
      <w:r>
        <w:rPr>
          <w:rFonts w:hint="default" w:ascii="Times New Roman" w:hAnsi="Times New Roman" w:cs="Times New Roman"/>
          <w:b/>
          <w:color w:val="1F2023"/>
          <w:sz w:val="28"/>
          <w:lang w:val="en-US"/>
        </w:rPr>
        <w:t>20/2021</w:t>
      </w:r>
    </w:p>
    <w:p>
      <w:pPr>
        <w:pStyle w:val="5"/>
        <w:spacing w:before="11"/>
        <w:rPr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t>Laporan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penyebaran</w:t>
      </w:r>
      <w:r>
        <w:rPr>
          <w:spacing w:val="55"/>
        </w:rPr>
        <w:t xml:space="preserve"> </w:t>
      </w:r>
      <w:r>
        <w:t>angket</w:t>
      </w:r>
      <w:r>
        <w:rPr>
          <w:lang w:val="en-US"/>
        </w:rPr>
        <w:t xml:space="preserve"> </w:t>
      </w:r>
      <w:r>
        <w:rPr>
          <w:spacing w:val="-52"/>
        </w:rPr>
        <w:t xml:space="preserve"> </w:t>
      </w:r>
      <w:r>
        <w:t>kuisioner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rPr>
          <w:lang w:val="en-US"/>
        </w:rPr>
        <w:t>Kepuasan Mahasiswa terhadap layanan dan proses pendidikan di lingkungan Prodi PGSD-FKIP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 xml:space="preserve">. </w:t>
      </w:r>
      <w:r>
        <w:rPr>
          <w:rFonts w:eastAsia="Arial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/>
          <w:color w:val="000000"/>
          <w:lang w:val="en-US"/>
        </w:rPr>
        <w:t xml:space="preserve">. </w:t>
      </w:r>
      <w:r>
        <w:rPr>
          <w:lang w:val="en-US"/>
        </w:rPr>
        <w:t xml:space="preserve">Angket diberikan kepada </w:t>
      </w:r>
      <w:r>
        <w:rPr>
          <w:rFonts w:hint="default"/>
          <w:lang w:val="en-US"/>
        </w:rPr>
        <w:t>211 orang mahasiswa</w:t>
      </w:r>
      <w:r>
        <w:rPr>
          <w:lang w:val="en-US"/>
        </w:rPr>
        <w:t xml:space="preserve">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lang w:val="en-US"/>
        </w:rPr>
      </w:pPr>
    </w:p>
    <w:tbl>
      <w:tblPr>
        <w:tblStyle w:val="4"/>
        <w:tblW w:w="101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708"/>
        <w:gridCol w:w="504"/>
        <w:gridCol w:w="894"/>
        <w:gridCol w:w="487"/>
        <w:gridCol w:w="718"/>
        <w:gridCol w:w="308"/>
        <w:gridCol w:w="419"/>
        <w:gridCol w:w="399"/>
        <w:gridCol w:w="490"/>
        <w:gridCol w:w="400"/>
        <w:gridCol w:w="536"/>
        <w:gridCol w:w="627"/>
        <w:gridCol w:w="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vMerge w:val="restart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Pernyataan</w:t>
            </w:r>
          </w:p>
        </w:tc>
        <w:tc>
          <w:tcPr>
            <w:tcW w:w="2106" w:type="dxa"/>
            <w:gridSpan w:val="3"/>
            <w:vMerge w:val="restart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Uji Validitas</w:t>
            </w:r>
          </w:p>
        </w:tc>
        <w:tc>
          <w:tcPr>
            <w:tcW w:w="1205" w:type="dxa"/>
            <w:gridSpan w:val="2"/>
            <w:vMerge w:val="restart"/>
            <w:shd w:val="clear" w:color="auto" w:fill="B7DDE8"/>
            <w:vAlign w:val="center"/>
          </w:tcPr>
          <w:p>
            <w:pPr>
              <w:ind w:left="-124" w:right="-139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Reliabilitas</w:t>
            </w:r>
          </w:p>
        </w:tc>
        <w:tc>
          <w:tcPr>
            <w:tcW w:w="3806" w:type="dxa"/>
            <w:gridSpan w:val="8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Kepuasan Pengguna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vMerge w:val="continue"/>
            <w:shd w:val="clear" w:color="auto" w:fill="B7DDE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gridSpan w:val="3"/>
            <w:vMerge w:val="continue"/>
            <w:shd w:val="clear" w:color="auto" w:fill="B7DDE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 w:val="continue"/>
            <w:shd w:val="clear" w:color="auto" w:fill="B7DDE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 xml:space="preserve">Frekuensi </w:t>
            </w:r>
          </w:p>
        </w:tc>
        <w:tc>
          <w:tcPr>
            <w:tcW w:w="2190" w:type="dxa"/>
            <w:gridSpan w:val="4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 xml:space="preserve">Persentase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vMerge w:val="continue"/>
            <w:shd w:val="clear" w:color="auto" w:fill="B7DDE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B7DDE8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r_hitung</w:t>
            </w:r>
          </w:p>
        </w:tc>
        <w:tc>
          <w:tcPr>
            <w:tcW w:w="504" w:type="dxa"/>
            <w:shd w:val="clear" w:color="auto" w:fill="B7DDE8"/>
            <w:vAlign w:val="center"/>
          </w:tcPr>
          <w:p>
            <w:pPr>
              <w:ind w:left="-2358" w:firstLine="2358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r_tabel</w:t>
            </w:r>
          </w:p>
        </w:tc>
        <w:tc>
          <w:tcPr>
            <w:tcW w:w="894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Ket.</w:t>
            </w:r>
          </w:p>
        </w:tc>
        <w:tc>
          <w:tcPr>
            <w:tcW w:w="487" w:type="dxa"/>
            <w:shd w:val="clear" w:color="auto" w:fill="B7DDE8"/>
            <w:vAlign w:val="center"/>
          </w:tcPr>
          <w:p>
            <w:pPr>
              <w:ind w:left="-94" w:right="-137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Varian</w:t>
            </w:r>
          </w:p>
          <w:p>
            <w:pPr>
              <w:ind w:left="-94" w:right="-137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s Butir</w:t>
            </w:r>
          </w:p>
        </w:tc>
        <w:tc>
          <w:tcPr>
            <w:tcW w:w="718" w:type="dxa"/>
            <w:shd w:val="clear" w:color="auto" w:fill="B7DDE8"/>
            <w:vAlign w:val="center"/>
          </w:tcPr>
          <w:p>
            <w:pPr>
              <w:ind w:left="-94" w:right="-137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Relia</w:t>
            </w:r>
          </w:p>
          <w:p>
            <w:pPr>
              <w:ind w:left="-94" w:right="-137"/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bilitas</w:t>
            </w:r>
          </w:p>
        </w:tc>
        <w:tc>
          <w:tcPr>
            <w:tcW w:w="308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36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Keandalan (reliability): kemampuan dosen, tenaga kependidikan, dan pengelola dalam memberikan pelayanan.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9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Relibel</w:t>
            </w:r>
          </w:p>
        </w:tc>
        <w:tc>
          <w:tcPr>
            <w:tcW w:w="3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21.33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78.67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Daya tanggap (responsiveness): kemauan dari dosen, tenaga kependidikan, dan pengelola dalam membantu mahasiswa dan memberikan jasa dengan cepat.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9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Relibel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9.48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89.57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Kepastian (assurance): kemampuan dosen, tenaga kependidikan, dan pengelola untuk memberi keyakinan kepada mahasiswa bahwa pelayanan yang diberikan telah sesuai dengan ketentuan.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9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7.91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Relibel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88.63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Empati (empathy): kesediaan/kepedulian dosen, tenaga kependidikan, dan pengelola untuk memberi perhatian kepada mahasiswa.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9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Relibel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17.54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82.46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Tangible: penilaian mahasiswa terhadap kecukupan, aksesibitas, kualitas sarana dan prasarana.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-70" w:righ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9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Relibel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10.43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87.68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8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9.29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ind w:left="-94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Varian Total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ind w:left="-88" w:right="-108"/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148" w:type="dxa"/>
            <w:gridSpan w:val="14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Jumlah populasi = jumlah sampel = 211 orang</w:t>
            </w:r>
          </w:p>
        </w:tc>
      </w:tr>
    </w:tbl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spacing w:line="187" w:lineRule="exact"/>
        <w:jc w:val="center"/>
        <w:rPr>
          <w:rFonts w:ascii="Times New Roman" w:hAnsi="Times New Roman" w:cs="Times New Roman"/>
          <w:sz w:val="18"/>
        </w:rPr>
        <w:sectPr>
          <w:pgSz w:w="11910" w:h="16840"/>
          <w:pgMar w:top="1600" w:right="480" w:bottom="280" w:left="480" w:header="720" w:footer="720" w:gutter="0"/>
          <w:cols w:space="720" w:num="1"/>
        </w:sectPr>
      </w:pPr>
    </w:p>
    <w:p>
      <w:pPr>
        <w:pStyle w:val="5"/>
        <w:jc w:val="both"/>
        <w:rPr>
          <w:b/>
          <w:sz w:val="20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drawing>
          <wp:inline distT="0" distB="0" distL="0" distR="0">
            <wp:extent cx="6077585" cy="2743200"/>
            <wp:effectExtent l="4445" t="4445" r="1397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rPr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Keandalan (reability), kemampuan dosen, tenaga Pendidikan, dan pengelola dalam memberikan pelayanan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Daya tanggap (responsiveness), kemauan dari dosen , tenaga kependidikan, dan pengelola dalam membantu mahasiswa dan memberikan jasa dengan cepat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Kepastian (assurance), kemampuan dosen, tenaga kependidikan dan pengelola untuk memberi keyakinan kepada mahasiswa bahwa pelayanan yang diberikan sesuai dengan kebutuhan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Empati (emphaty), kesediaan/kepedulian dosen, tenaga kependidikan, dan pengelola untuk memberi perhatian kepada mahasiswa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Tangible, penilaian mahasiswa terhadap kecukupan, aksesibilitas, kualitas, sarana dan prasarana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spacing w:line="187" w:lineRule="exact"/>
        <w:jc w:val="center"/>
        <w:rPr>
          <w:rFonts w:ascii="Times New Roman" w:hAnsi="Times New Roman" w:cs="Times New Roman"/>
          <w:sz w:val="18"/>
        </w:rPr>
        <w:sectPr>
          <w:pgSz w:w="11910" w:h="16840"/>
          <w:pgMar w:top="1600" w:right="480" w:bottom="280" w:left="480" w:header="720" w:footer="720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drawing>
          <wp:inline distT="0" distB="0" distL="114300" distR="114300">
            <wp:extent cx="6265545" cy="2848610"/>
            <wp:effectExtent l="4445" t="4445" r="16510" b="23495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rPr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Keandalan (reability), kemampuan dosen, tenaga Pendidikan, dan pengelola dalam memberikan pelayanan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Daya tanggap (responsiveness), kemauan dari dosen , tenaga kependidikan, dan pengelola dalam membantu mahasiswa dan memberikan jasa dengan cepat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Kepastian (assurance), kemampuan dosen, tenaga kependidikan dan pengelola untuk memberi keyakinan kepada mahasiswa bahwa pelayanan yang diberikan sesuai dengan kebutuhan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Empati (emphaty), kesediaan/kepedulian dosen, tenaga kependidikan, dan pengelola untuk memberi perhatian kepada mahasiswa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Tangible, penilaian mahasiswa terhadap kecukupan, aksesibilitas, kualitas, sarana dan prasarana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>
      <w:pPr>
        <w:spacing w:before="52"/>
        <w:ind w:left="100"/>
        <w:jc w:val="both"/>
        <w:rPr>
          <w:rFonts w:ascii="Times New Roman" w:hAnsi="Times New Roman" w:cs="Times New Roman"/>
          <w:b/>
          <w:sz w:val="24"/>
          <w:lang w:val="id-ID"/>
        </w:rPr>
      </w:pPr>
    </w:p>
    <w:p>
      <w:pPr>
        <w:spacing w:before="52"/>
        <w:ind w:left="10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TEMUAN</w:t>
      </w:r>
    </w:p>
    <w:p>
      <w:pPr>
        <w:pStyle w:val="5"/>
        <w:numPr>
          <w:ilvl w:val="0"/>
          <w:numId w:val="3"/>
        </w:numPr>
        <w:jc w:val="both"/>
        <w:rPr>
          <w:lang w:val="en-US"/>
        </w:rPr>
      </w:pPr>
      <w:r>
        <w:rPr>
          <w:rFonts w:hint="default"/>
          <w:lang w:val="en-US"/>
        </w:rPr>
        <w:t>Masih ditemukan mahasiswa yang merasa kurang puas dalam pelayanan oleh dosen maupun tenaga kependidikan, yaitu pada aspek keandalan dan kepastian dalam memberikan pelayanan.</w:t>
      </w:r>
    </w:p>
    <w:p>
      <w:pPr>
        <w:pStyle w:val="5"/>
        <w:ind w:left="720"/>
        <w:jc w:val="both"/>
        <w:rPr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5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Diberikan pelatihan baik pada dosen maupun tenaga kependidikan sebagai upaya meningkatkan pelayanan akademik kepada mahasiswa.</w:t>
      </w:r>
    </w:p>
    <w:p>
      <w:pPr>
        <w:pStyle w:val="5"/>
        <w:rPr>
          <w:rFonts w:hint="default"/>
          <w:b w:val="0"/>
          <w:bCs w:val="0"/>
          <w:lang w:val="en-US"/>
        </w:rPr>
      </w:pPr>
    </w:p>
    <w:p>
      <w:pPr>
        <w:pStyle w:val="5"/>
        <w:rPr>
          <w:rFonts w:hint="default"/>
          <w:b w:val="0"/>
          <w:bCs w:val="0"/>
          <w:lang w:val="en-US"/>
        </w:rPr>
      </w:pPr>
    </w:p>
    <w:p>
      <w:pPr>
        <w:pStyle w:val="5"/>
        <w:rPr>
          <w:rFonts w:hint="default"/>
          <w:b w:val="0"/>
          <w:bCs w:val="0"/>
          <w:lang w:val="en-US"/>
        </w:rPr>
      </w:pPr>
    </w:p>
    <w:p>
      <w:pPr>
        <w:pStyle w:val="5"/>
        <w:rPr>
          <w:rFonts w:hint="default"/>
          <w:b w:val="0"/>
          <w:bCs w:val="0"/>
          <w:lang w:val="en-US"/>
        </w:rPr>
      </w:pPr>
    </w:p>
    <w:p>
      <w:pPr>
        <w:pStyle w:val="5"/>
        <w:rPr>
          <w:rFonts w:hint="default"/>
          <w:b w:val="0"/>
          <w:bCs w:val="0"/>
          <w:lang w:val="en-US"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Diketahui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oleh: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Dilaporkan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Ketua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Lembaga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Penjaminan Mutu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Internal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Gugus Penjaminan Mutu</w:t>
      </w:r>
      <w:r>
        <w:rPr>
          <w:rFonts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Universitas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Quality</w:t>
      </w:r>
      <w:r>
        <w:rPr>
          <w:rFonts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Fakultas </w:t>
      </w:r>
      <w:r>
        <w:rPr>
          <w:rFonts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ascii="Times New Roman" w:hAnsi="Times New Roman" w:cs="Times New Roman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BERITA ACARA PEMBAHASAN HASIL MONITORING DAN EVALUASI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KEPUASAN MAHASISWA TERHADAP LAYANAN DAN PROSES PENDIDIKAN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PROGRAM STUDI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PGSD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KEGURUAN DAN ILMU PENDIDIKAN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UNIVERSITAS QUALITY BERASTAGI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hari, Sabtu tanggal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Sepuluh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bulan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November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tahun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Dua Ribu Dua Puluh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telah dilaksanakan Pembahasan Rencana Tindak Lanjut atas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HASIL MONITORING DAN EVALUASI KEPUASAN MAHASISWA TERHADAP LAYANAN DAN PROGRES PENDIDIKAN PROGRAM STUDI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PGSD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FAKULTAS KEGURUAN DAN ILMU PENDIDIKAN</w:t>
      </w:r>
    </w:p>
    <w:p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Dengan: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Eduard,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Prof. Nurdin Bukit,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Sejahtra,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Ferdinand Sinuhaji, S.Si.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Nurlia Ginting,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Frida Dian Handini, S.Pd., M.Hum.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Dra. Elisa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Kaprodi PGSD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Berdasarkan hasil monitoring dan evaluasi, maka dinyatakan rencana tindak lanjut:</w:t>
      </w:r>
    </w:p>
    <w:p>
      <w:pPr>
        <w:pStyle w:val="5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Diberikan pelatihan baik pada dosen maupun tenaga kependidikan sebagai upaya meningkatkan pelayanan akademik kepada mahasiswa.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Demikian Berita Acara ini diperbuat dengan sebenarnya.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Berastagi,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0 November </w:t>
      </w:r>
      <w:r>
        <w:rPr>
          <w:rFonts w:ascii="Times New Roman" w:hAnsi="Times New Roman" w:cs="Times New Roman"/>
          <w:sz w:val="24"/>
          <w:szCs w:val="24"/>
          <w:lang w:val="id-ID"/>
        </w:rPr>
        <w:t>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</w:p>
    <w:p>
      <w:pPr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</w:t>
      </w:r>
      <w:r>
        <w:rPr>
          <w:rFonts w:ascii="Times New Roman" w:hAnsi="Times New Roman" w:cs="Times New Roman"/>
          <w:lang w:val="id-ID"/>
        </w:rPr>
        <w:drawing>
          <wp:inline distT="0" distB="0" distL="0" distR="0">
            <wp:extent cx="1346200" cy="889000"/>
            <wp:effectExtent l="0" t="0" r="6350" b="6350"/>
            <wp:docPr id="8" name="Picture 8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Frida Dian Handini, S.Pd., M.Hum</w:t>
      </w:r>
    </w:p>
    <w:p>
      <w:pPr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NIDN. 0121069102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10" w:h="16850"/>
      <w:pgMar w:top="1267" w:right="1022" w:bottom="1267" w:left="1339" w:header="0" w:footer="10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82E85"/>
    <w:multiLevelType w:val="multilevel"/>
    <w:tmpl w:val="0C182E8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54878"/>
    <w:multiLevelType w:val="multilevel"/>
    <w:tmpl w:val="601548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15E5B"/>
    <w:multiLevelType w:val="multilevel"/>
    <w:tmpl w:val="7BC15E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B0229"/>
    <w:rsid w:val="447B0229"/>
    <w:rsid w:val="6385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widowControl w:val="0"/>
      <w:autoSpaceDE w:val="0"/>
      <w:autoSpaceDN w:val="0"/>
      <w:spacing w:after="0" w:line="240" w:lineRule="auto"/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  <w:lang w:val="id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d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Calibri" w:hAnsi="Calibri" w:eastAsia="Calibri" w:cs="Calibri"/>
      <w:lang w:val="id"/>
    </w:rPr>
  </w:style>
  <w:style w:type="paragraph" w:styleId="8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338" w:hanging="284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chart" Target="charts/chart12.xml"/><Relationship Id="rId22" Type="http://schemas.openxmlformats.org/officeDocument/2006/relationships/chart" Target="charts/chart11.xml"/><Relationship Id="rId21" Type="http://schemas.openxmlformats.org/officeDocument/2006/relationships/chart" Target="charts/chart10.xml"/><Relationship Id="rId20" Type="http://schemas.openxmlformats.org/officeDocument/2006/relationships/chart" Target="charts/chart9.xml"/><Relationship Id="rId2" Type="http://schemas.openxmlformats.org/officeDocument/2006/relationships/settings" Target="settings.xml"/><Relationship Id="rId19" Type="http://schemas.openxmlformats.org/officeDocument/2006/relationships/chart" Target="charts/chart8.xml"/><Relationship Id="rId18" Type="http://schemas.openxmlformats.org/officeDocument/2006/relationships/chart" Target="charts/chart7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Book1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Book1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Book1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Sheet1!$C$1:$C$5</c:f>
              <c:numCache>
                <c:formatCode>General</c:formatCode>
                <c:ptCount val="5"/>
                <c:pt idx="0">
                  <c:v>0</c:v>
                </c:pt>
                <c:pt idx="1">
                  <c:v>0.95</c:v>
                </c:pt>
                <c:pt idx="2">
                  <c:v>1.42</c:v>
                </c:pt>
                <c:pt idx="3">
                  <c:v>0</c:v>
                </c:pt>
                <c:pt idx="4">
                  <c:v>1.9</c:v>
                </c:pt>
              </c:numCache>
            </c:numRef>
          </c:val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Sheet1!$D$1:$D$5</c:f>
              <c:numCache>
                <c:formatCode>General</c:formatCode>
                <c:ptCount val="5"/>
                <c:pt idx="0">
                  <c:v>21.33</c:v>
                </c:pt>
                <c:pt idx="1">
                  <c:v>9.48</c:v>
                </c:pt>
                <c:pt idx="2">
                  <c:v>9.95</c:v>
                </c:pt>
                <c:pt idx="3">
                  <c:v>17.54</c:v>
                </c:pt>
                <c:pt idx="4">
                  <c:v>10.43</c:v>
                </c:pt>
              </c:numCache>
            </c:numRef>
          </c:val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Sheet1!$E$1:$E$5</c:f>
              <c:numCache>
                <c:formatCode>General</c:formatCode>
                <c:ptCount val="5"/>
                <c:pt idx="0">
                  <c:v>78.67</c:v>
                </c:pt>
                <c:pt idx="1">
                  <c:v>89.57</c:v>
                </c:pt>
                <c:pt idx="2">
                  <c:v>88.63</c:v>
                </c:pt>
                <c:pt idx="3">
                  <c:v>82.46</c:v>
                </c:pt>
                <c:pt idx="4">
                  <c:v>87.68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3089440"/>
        <c:axId val="485460592"/>
      </c:barChart>
      <c:catAx>
        <c:axId val="493089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5460592"/>
        <c:crosses val="autoZero"/>
        <c:auto val="1"/>
        <c:lblAlgn val="ctr"/>
        <c:lblOffset val="100"/>
        <c:noMultiLvlLbl val="0"/>
      </c:catAx>
      <c:valAx>
        <c:axId val="485460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308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[Book1]Sheet1!$C$5:$F$5</c:f>
              <c:numCache>
                <c:formatCode>General</c:formatCode>
                <c:ptCount val="4"/>
                <c:pt idx="0">
                  <c:v>0</c:v>
                </c:pt>
                <c:pt idx="1">
                  <c:v>0.6</c:v>
                </c:pt>
                <c:pt idx="2">
                  <c:v>0.6</c:v>
                </c:pt>
                <c:pt idx="3">
                  <c:v>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37220196"/>
        <c:axId val="582604456"/>
      </c:barChart>
      <c:catAx>
        <c:axId val="2372201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2604456"/>
        <c:crosses val="autoZero"/>
        <c:auto val="1"/>
        <c:lblAlgn val="ctr"/>
        <c:lblOffset val="100"/>
        <c:noMultiLvlLbl val="0"/>
      </c:catAx>
      <c:valAx>
        <c:axId val="582604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72201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[Book1]Sheet1!$C$6:$F$6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97797267"/>
        <c:axId val="287927654"/>
      </c:barChart>
      <c:catAx>
        <c:axId val="9779726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7927654"/>
        <c:crosses val="autoZero"/>
        <c:auto val="1"/>
        <c:lblAlgn val="ctr"/>
        <c:lblOffset val="100"/>
        <c:noMultiLvlLbl val="0"/>
      </c:catAx>
      <c:valAx>
        <c:axId val="28792765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7972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[Book1]Sheet1!$C$7:$F$7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16.7</c:v>
                </c:pt>
                <c:pt idx="3">
                  <c:v>83.3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73918930"/>
        <c:axId val="636533516"/>
      </c:barChart>
      <c:catAx>
        <c:axId val="97391893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6533516"/>
        <c:crosses val="autoZero"/>
        <c:auto val="1"/>
        <c:lblAlgn val="ctr"/>
        <c:lblOffset val="100"/>
        <c:noMultiLvlLbl val="0"/>
      </c:catAx>
      <c:valAx>
        <c:axId val="6365335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391893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21.33</c:v>
                </c:pt>
                <c:pt idx="3">
                  <c:v>78.67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81419632"/>
        <c:axId val="702746496"/>
      </c:barChart>
      <c:catAx>
        <c:axId val="481419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2746496"/>
        <c:crosses val="autoZero"/>
        <c:auto val="1"/>
        <c:lblAlgn val="ctr"/>
        <c:lblOffset val="100"/>
        <c:noMultiLvlLbl val="0"/>
      </c:catAx>
      <c:valAx>
        <c:axId val="7027464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141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0.95</c:v>
                </c:pt>
                <c:pt idx="2">
                  <c:v>9.48</c:v>
                </c:pt>
                <c:pt idx="3">
                  <c:v>89.57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30245968"/>
        <c:axId val="702753152"/>
      </c:barChart>
      <c:catAx>
        <c:axId val="1930245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2753152"/>
        <c:crosses val="autoZero"/>
        <c:auto val="1"/>
        <c:lblAlgn val="ctr"/>
        <c:lblOffset val="100"/>
        <c:noMultiLvlLbl val="0"/>
      </c:catAx>
      <c:valAx>
        <c:axId val="702753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30245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1.42</c:v>
                </c:pt>
                <c:pt idx="2">
                  <c:v>9.95</c:v>
                </c:pt>
                <c:pt idx="3">
                  <c:v>88.63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308224"/>
        <c:axId val="702734848"/>
      </c:barChart>
      <c:catAx>
        <c:axId val="19308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2734848"/>
        <c:crosses val="autoZero"/>
        <c:auto val="1"/>
        <c:lblAlgn val="ctr"/>
        <c:lblOffset val="100"/>
        <c:noMultiLvlLbl val="0"/>
      </c:catAx>
      <c:valAx>
        <c:axId val="7027348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308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17.54</c:v>
                </c:pt>
                <c:pt idx="3">
                  <c:v>82.46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4387360"/>
        <c:axId val="702752736"/>
      </c:barChart>
      <c:catAx>
        <c:axId val="494387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2752736"/>
        <c:crosses val="autoZero"/>
        <c:auto val="1"/>
        <c:lblAlgn val="ctr"/>
        <c:lblOffset val="100"/>
        <c:noMultiLvlLbl val="0"/>
      </c:catAx>
      <c:valAx>
        <c:axId val="702752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438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1.9</c:v>
                </c:pt>
                <c:pt idx="2">
                  <c:v>10.43</c:v>
                </c:pt>
                <c:pt idx="3">
                  <c:v>87.68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30243168"/>
        <c:axId val="702741088"/>
      </c:barChart>
      <c:catAx>
        <c:axId val="1930243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2741088"/>
        <c:crosses val="autoZero"/>
        <c:auto val="1"/>
        <c:lblAlgn val="ctr"/>
        <c:lblOffset val="100"/>
        <c:noMultiLvlLbl val="0"/>
      </c:catAx>
      <c:valAx>
        <c:axId val="7027410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3024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[Book1]Sheet1!$C$3:$C$7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[Book1]Sheet1!$D$3:$D$7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[Book1]Sheet1!$E$3:$E$7</c:f>
              <c:numCache>
                <c:formatCode>General</c:formatCode>
                <c:ptCount val="5"/>
                <c:pt idx="0">
                  <c:v>0.6</c:v>
                </c:pt>
                <c:pt idx="1">
                  <c:v>11.1</c:v>
                </c:pt>
                <c:pt idx="2">
                  <c:v>0.6</c:v>
                </c:pt>
                <c:pt idx="3">
                  <c:v>0</c:v>
                </c:pt>
                <c:pt idx="4">
                  <c:v>16.7</c:v>
                </c:pt>
              </c:numCache>
            </c:numRef>
          </c:val>
        </c:ser>
        <c:ser>
          <c:idx val="3"/>
          <c:order val="3"/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[Book1]Sheet1!$F$3:$F$7</c:f>
              <c:numCache>
                <c:formatCode>General</c:formatCode>
                <c:ptCount val="5"/>
                <c:pt idx="0">
                  <c:v>9.4</c:v>
                </c:pt>
                <c:pt idx="1">
                  <c:v>88.9</c:v>
                </c:pt>
                <c:pt idx="2">
                  <c:v>8.8</c:v>
                </c:pt>
                <c:pt idx="3">
                  <c:v>100</c:v>
                </c:pt>
                <c:pt idx="4">
                  <c:v>83.3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3679156"/>
        <c:axId val="515906824"/>
      </c:barChart>
      <c:catAx>
        <c:axId val="336791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5906824"/>
        <c:crosses val="autoZero"/>
        <c:auto val="1"/>
        <c:lblAlgn val="ctr"/>
        <c:lblOffset val="100"/>
        <c:noMultiLvlLbl val="0"/>
      </c:catAx>
      <c:valAx>
        <c:axId val="515906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6791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[Book1]Sheet1!$C$3:$F$3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0.6</c:v>
                </c:pt>
                <c:pt idx="3">
                  <c:v>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72369320"/>
        <c:axId val="974434718"/>
      </c:barChart>
      <c:catAx>
        <c:axId val="72369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4434718"/>
        <c:crosses val="autoZero"/>
        <c:auto val="1"/>
        <c:lblAlgn val="ctr"/>
        <c:lblOffset val="100"/>
        <c:noMultiLvlLbl val="0"/>
      </c:catAx>
      <c:valAx>
        <c:axId val="97443471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369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[Book1]Sheet1!$C$4:$F$4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11.1</c:v>
                </c:pt>
                <c:pt idx="3">
                  <c:v>88.9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31525936"/>
        <c:axId val="413691287"/>
      </c:barChart>
      <c:catAx>
        <c:axId val="9315259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3691287"/>
        <c:crosses val="autoZero"/>
        <c:auto val="1"/>
        <c:lblAlgn val="ctr"/>
        <c:lblOffset val="100"/>
        <c:noMultiLvlLbl val="0"/>
      </c:catAx>
      <c:valAx>
        <c:axId val="413691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152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2022-05-24T08:15:00Z</dcterms:created>
  <dc:creator>Acer</dc:creator>
  <cp:lastModifiedBy>Acer</cp:lastModifiedBy>
  <dcterms:modified xsi:type="dcterms:W3CDTF">2022-05-24T08:48:14Z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F727B1F7DF904BE78AB95B92F95DC79D</vt:lpwstr>
  </property>
</Properties>
</file>