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 xml:space="preserve">EV </w:t>
      </w:r>
      <w:r>
        <w:rPr>
          <w:b/>
          <w:bCs/>
          <w:sz w:val="32"/>
          <w:szCs w:val="36"/>
          <w:lang w:val="en-US"/>
        </w:rPr>
        <w:t>KEPUASAN MAHASISWA TERHADAP LAYANAN KEMAHASISWAAN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SEMESTER GANJIL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tabs>
          <w:tab w:val="left" w:pos="3107"/>
        </w:tabs>
        <w:rPr>
          <w:sz w:val="20"/>
          <w:lang w:val="en-US"/>
        </w:rPr>
      </w:pPr>
      <w:r>
        <w:rPr>
          <w:sz w:val="20"/>
          <w:lang w:val="en-US"/>
        </w:rPr>
        <w:tab/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32"/>
          <w:szCs w:val="36"/>
          <w:lang w:val="en-US"/>
        </w:rPr>
      </w:pP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PROGRAM STUDI PENDIDIKAN OLAHRAGA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Calibri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ascii="Calibri"/>
          <w:b/>
          <w:sz w:val="14"/>
        </w:rPr>
      </w:pPr>
    </w:p>
    <w:p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>
      <w:pPr>
        <w:pStyle w:val="5"/>
        <w:rPr>
          <w:rFonts w:ascii="Trebuchet MS"/>
          <w:b/>
          <w:sz w:val="36"/>
        </w:rPr>
      </w:pPr>
    </w:p>
    <w:p>
      <w:pPr>
        <w:pStyle w:val="5"/>
        <w:spacing w:before="5"/>
        <w:rPr>
          <w:rFonts w:ascii="Trebuchet MS"/>
          <w:b/>
          <w:sz w:val="38"/>
        </w:rPr>
      </w:pP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color w:val="1F2023"/>
        </w:rPr>
      </w:pPr>
      <w:r>
        <w:rPr>
          <w:color w:val="1F2023"/>
          <w:lang w:val="en-US"/>
        </w:rPr>
        <w:t>KEPUASAN MAHASISWA TERHADAP LAYANAN KEMAHASISWAAN</w:t>
      </w:r>
    </w:p>
    <w:p>
      <w:pPr>
        <w:pStyle w:val="2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/>
          <w:lang w:val="en-US"/>
        </w:rPr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  <w:lang w:val="en-US"/>
        </w:rPr>
        <w:t>G</w:t>
      </w:r>
      <w:r>
        <w:rPr>
          <w:rFonts w:hint="default"/>
          <w:color w:val="1F2023"/>
          <w:lang w:val="en-US"/>
        </w:rPr>
        <w:t>ANJIL 2020/2021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hint="default"/>
                <w:b/>
                <w:spacing w:val="-3"/>
                <w:sz w:val="24"/>
                <w:lang w:val="en-US"/>
              </w:rPr>
              <w:t xml:space="preserve">4 November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sz w:val="20"/>
              </w:rPr>
            </w:pPr>
          </w:p>
          <w:p>
            <w:pPr>
              <w:pStyle w:val="7"/>
              <w:ind w:left="874"/>
              <w:rPr>
                <w:sz w:val="20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Frida Dian Handini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7"/>
              <w:ind w:left="1616"/>
              <w:rPr>
                <w:sz w:val="20"/>
              </w:rPr>
            </w:pPr>
            <w: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Ferdinand Sinuhaji, S.Si., M.Si.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b/>
                <w:sz w:val="9"/>
              </w:rPr>
            </w:pPr>
          </w:p>
          <w:p>
            <w:pPr>
              <w:pStyle w:val="7"/>
              <w:ind w:left="686"/>
              <w:rPr>
                <w:sz w:val="20"/>
              </w:rPr>
            </w:pPr>
            <w: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>
      <w:pPr>
        <w:pStyle w:val="5"/>
        <w:rPr>
          <w:rFonts w:ascii="Microsoft Sans Serif"/>
          <w:sz w:val="26"/>
        </w:rPr>
      </w:pPr>
    </w:p>
    <w:p>
      <w:pPr>
        <w:pStyle w:val="5"/>
        <w:spacing w:before="9"/>
        <w:rPr>
          <w:rFonts w:ascii="Microsoft Sans Serif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kemahasiswaan</w:t>
      </w:r>
      <w:r>
        <w:rPr>
          <w:spacing w:val="1"/>
          <w:lang w:val="en-US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1"/>
        </w:rPr>
        <w:t xml:space="preserve"> </w:t>
      </w:r>
      <w:r>
        <w:rPr>
          <w:rFonts w:hint="default"/>
          <w:lang w:val="en-US"/>
        </w:rPr>
        <w:t>2020/2021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kemahasiswaan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60" w:line="415" w:lineRule="auto"/>
        <w:ind w:left="4001" w:right="4523" w:firstLine="720"/>
        <w:jc w:val="left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>
      <w:pPr>
        <w:pStyle w:val="5"/>
        <w:spacing w:before="4"/>
        <w:rPr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>
      <w:pPr>
        <w:pStyle w:val="5"/>
        <w:spacing w:before="128" w:line="360" w:lineRule="auto"/>
        <w:ind w:left="520" w:right="672" w:firstLine="720"/>
        <w:jc w:val="both"/>
      </w:pPr>
      <w:r>
        <w:rPr>
          <w:spacing w:val="-1"/>
        </w:rPr>
        <w:t>Evaluasi</w:t>
      </w:r>
      <w:r>
        <w:rPr>
          <w:spacing w:val="-6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implementasi</w:t>
      </w:r>
      <w:r>
        <w:rPr>
          <w:spacing w:val="-6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mutu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Berastagi</w:t>
      </w:r>
      <w:r>
        <w:rPr>
          <w:spacing w:val="-58"/>
        </w:rPr>
        <w:t xml:space="preserve"> </w:t>
      </w:r>
      <w:r>
        <w:t>merupakan proses pelaksanaan pengukuran civitas akademika akan semua aspek dan bagian</w:t>
      </w:r>
      <w:r>
        <w:rPr>
          <w:spacing w:val="1"/>
        </w:rPr>
        <w:t xml:space="preserve"> </w:t>
      </w:r>
      <w:r>
        <w:t xml:space="preserve">institusi. Hal ini dikarenakan, </w:t>
      </w:r>
      <w:r>
        <w:rPr>
          <w:b/>
        </w:rPr>
        <w:t>s</w:t>
      </w:r>
      <w:r>
        <w:t>alah satu keberhasilan pendidikan di perguruan tinggi adalah</w:t>
      </w:r>
      <w:r>
        <w:rPr>
          <w:spacing w:val="1"/>
        </w:rPr>
        <w:t xml:space="preserve"> </w:t>
      </w:r>
      <w:r>
        <w:t>melakukan monitoring dan evaluasi pembelajaran terhadap dosen. Monitoring dan evaluasi</w:t>
      </w:r>
      <w:r>
        <w:rPr>
          <w:spacing w:val="1"/>
        </w:rPr>
        <w:t xml:space="preserve"> </w:t>
      </w:r>
      <w:r>
        <w:t>tersebut dilakukan oleh Lembaga Penjamin Mutu Internal (LPMI). Penjaminan mutu internal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 melalui tridharma perguruan tinggi dalam rangka mewujudkan visi serta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eksternal</w:t>
      </w:r>
      <w:r>
        <w:rPr>
          <w:spacing w:val="-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520" w:right="678" w:firstLine="720"/>
        <w:jc w:val="both"/>
        <w:rPr>
          <w:rFonts w:hint="default"/>
          <w:lang w:val="en-US"/>
        </w:rPr>
      </w:pPr>
      <w:r>
        <w:t>Pelayanan mahasiswa termasuk ke dalam salah satu bentuk layanan yang 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hingga</w:t>
      </w:r>
      <w:r>
        <w:rPr>
          <w:spacing w:val="60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pelayanaan administrasi maupun kinerja dosen dan tenaga kependidikan. Kegiatan 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pencapaiannya,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 xml:space="preserve">pelayanan kemahasiswaan perlu dimonitor. Maka Gugus Penjaminan Mutu Fakultas </w:t>
      </w:r>
      <w:r>
        <w:rPr>
          <w:lang w:val="en-US"/>
        </w:rPr>
        <w:t>Keguruan dan Ilmu Pendidikan</w:t>
      </w:r>
      <w:r>
        <w:t xml:space="preserve"> Universitas Quality Berastagi membuat laporan monitoring dan evaluasi layanan</w:t>
      </w:r>
      <w:r>
        <w:rPr>
          <w:spacing w:val="1"/>
        </w:rPr>
        <w:t xml:space="preserve"> </w:t>
      </w:r>
      <w:r>
        <w:t>kemahasiswaan</w:t>
      </w:r>
      <w:r>
        <w:rPr>
          <w:spacing w:val="11"/>
        </w:rPr>
        <w:t xml:space="preserve"> </w:t>
      </w:r>
      <w:r>
        <w:t xml:space="preserve">Semester </w:t>
      </w:r>
      <w:r>
        <w:rPr>
          <w:lang w:val="en-US"/>
        </w:rPr>
        <w:t>Ganjil</w:t>
      </w:r>
      <w:r>
        <w:t xml:space="preserve"> Tahun Ajaran</w:t>
      </w:r>
      <w:r>
        <w:rPr>
          <w:rFonts w:hint="default"/>
          <w:lang w:val="en-US"/>
        </w:rPr>
        <w:t xml:space="preserve"> 2020/2021.</w:t>
      </w:r>
    </w:p>
    <w:p>
      <w:pPr>
        <w:pStyle w:val="5"/>
        <w:spacing w:before="5" w:line="360" w:lineRule="auto"/>
        <w:ind w:left="520" w:right="678" w:firstLine="720"/>
        <w:jc w:val="both"/>
      </w:pPr>
      <w:r>
        <w:t>Melakukan monitoring dan evaluasi pelayanan kepada mahasiswa menjadi tanggung</w:t>
      </w:r>
      <w:r>
        <w:rPr>
          <w:spacing w:val="1"/>
        </w:rPr>
        <w:t xml:space="preserve"> </w:t>
      </w:r>
      <w:r>
        <w:t>jawab penyelenggara pendidikan (diantaranya rektor, dekan, ka.prodi dan dosen sebagai tenaga</w:t>
      </w:r>
      <w:r>
        <w:rPr>
          <w:spacing w:val="-57"/>
        </w:rPr>
        <w:t xml:space="preserve"> </w:t>
      </w:r>
      <w:r>
        <w:t>kependidikan)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 terhadap mahasiswa sebagai peserta didik yang diamati oleh Lembaga Penjamin</w:t>
      </w:r>
      <w:r>
        <w:rPr>
          <w:spacing w:val="1"/>
        </w:rPr>
        <w:t xml:space="preserve"> </w:t>
      </w:r>
      <w:r>
        <w:t>Mutu Internal.</w:t>
      </w:r>
    </w:p>
    <w:p>
      <w:pPr>
        <w:pStyle w:val="5"/>
        <w:spacing w:before="3" w:line="360" w:lineRule="auto"/>
        <w:ind w:left="520" w:right="678" w:firstLine="720"/>
        <w:jc w:val="both"/>
      </w:pPr>
      <w:r>
        <w:t>Kegiatan</w:t>
      </w:r>
      <w:r>
        <w:rPr>
          <w:spacing w:val="1"/>
        </w:rPr>
        <w:t xml:space="preserve"> </w:t>
      </w:r>
      <w:r>
        <w:t>monitoring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evaluasi</w:t>
      </w:r>
      <w:r>
        <w:rPr>
          <w:spacing w:val="61"/>
        </w:rPr>
        <w:t xml:space="preserve"> </w:t>
      </w:r>
      <w:r>
        <w:t>pelayanan</w:t>
      </w:r>
      <w:r>
        <w:rPr>
          <w:spacing w:val="61"/>
        </w:rPr>
        <w:t xml:space="preserve"> </w:t>
      </w:r>
      <w:r>
        <w:t>kemahasiswaan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digelar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serangkaian kegiatan penjaminan mutu di Universitas Quality Berasyang meliputi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pokok.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60"/>
        </w:rPr>
        <w:t xml:space="preserve"> </w:t>
      </w:r>
      <w:r>
        <w:t>dilaksakan</w:t>
      </w:r>
      <w:r>
        <w:rPr>
          <w:spacing w:val="1"/>
        </w:rPr>
        <w:t xml:space="preserve"> </w:t>
      </w:r>
      <w:r>
        <w:t>melalui beberapa siklus meliputi: penetapan, pelaksanaan, evaluasi, pengendalian dan tujuan</w:t>
      </w:r>
      <w:r>
        <w:rPr>
          <w:spacing w:val="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yaitu peningkatan</w:t>
      </w:r>
      <w:r>
        <w:rPr>
          <w:spacing w:val="4"/>
        </w:rPr>
        <w:t xml:space="preserve"> </w:t>
      </w:r>
      <w:r>
        <w:t>(PPEPP).</w:t>
      </w: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Tujuan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1229" w:right="615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  <w:r>
        <w:t xml:space="preserve"> Universitas Quality Berastag</w:t>
      </w:r>
      <w:r>
        <w:rPr>
          <w:lang w:val="en-US"/>
        </w:rPr>
        <w:t>i t</w:t>
      </w:r>
      <w:r>
        <w:t>ahun</w:t>
      </w:r>
      <w:r>
        <w:rPr>
          <w:lang w:val="en-US"/>
        </w:rPr>
        <w:t xml:space="preserve"> a</w:t>
      </w:r>
      <w:r>
        <w:t>kademik 20</w:t>
      </w:r>
      <w:r>
        <w:rPr>
          <w:rFonts w:hint="default"/>
          <w:lang w:val="en-US"/>
        </w:rPr>
        <w:t>20/2021</w:t>
      </w:r>
      <w:r>
        <w:rPr>
          <w:spacing w:val="1"/>
        </w:rPr>
        <w:t xml:space="preserve"> </w:t>
      </w:r>
      <w:r>
        <w:t>bertujuan untuk: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line="274" w:lineRule="exact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Pelayanan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Mahasiswa.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before="140" w:line="357" w:lineRule="auto"/>
        <w:ind w:left="1588" w:right="616"/>
        <w:jc w:val="both"/>
        <w:rPr>
          <w:sz w:val="24"/>
        </w:rPr>
      </w:pPr>
      <w:r>
        <w:rPr>
          <w:sz w:val="24"/>
        </w:rPr>
        <w:t>Untuk menentukan tolok ukur Pencapaian Standar dalam Pelaksanaan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2"/>
        <w:numPr>
          <w:ilvl w:val="1"/>
          <w:numId w:val="1"/>
        </w:numPr>
        <w:tabs>
          <w:tab w:val="left" w:pos="949"/>
        </w:tabs>
        <w:spacing w:before="72"/>
        <w:ind w:right="0"/>
        <w:jc w:val="both"/>
      </w:pPr>
      <w:r>
        <w:t>Manfaat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</w:pPr>
      <w:r>
        <w:t>Monitoring dan Evaluasi 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 xml:space="preserve">semester </w:t>
      </w:r>
      <w:r>
        <w:rPr>
          <w:lang w:val="en-US"/>
        </w:rPr>
        <w:t>Ganjil</w:t>
      </w:r>
      <w:r>
        <w:t xml:space="preserve"> 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20/2021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30" w:line="360" w:lineRule="auto"/>
        <w:ind w:left="1293" w:right="3127"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" w:line="357" w:lineRule="auto"/>
        <w:ind w:left="1293" w:right="2344" w:hanging="361"/>
        <w:rPr>
          <w:sz w:val="24"/>
        </w:rPr>
      </w:pPr>
      <w:r>
        <w:rPr>
          <w:sz w:val="24"/>
        </w:rPr>
        <w:t>Sebagai perbaikan secara terus-menerus dalam peningkatan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5"/>
        <w:spacing w:before="7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877"/>
        </w:tabs>
        <w:ind w:left="876" w:right="0" w:hanging="361"/>
        <w:jc w:val="both"/>
      </w:pPr>
      <w:r>
        <w:t>Waktu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  <w:rPr>
          <w:rFonts w:hint="default"/>
          <w:lang w:val="en-US"/>
        </w:rPr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rFonts w:hint="default"/>
          <w:lang w:val="en-US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</w:t>
      </w:r>
      <w:r>
        <w:rPr>
          <w:rFonts w:hint="default"/>
          <w:lang w:val="en-US"/>
        </w:rPr>
        <w:t xml:space="preserve">mahasiswa </w:t>
      </w:r>
      <w:r>
        <w:t xml:space="preserve">di 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</w:t>
      </w:r>
      <w:r>
        <w:t xml:space="preserve">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pekuliahan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</w:t>
      </w:r>
      <w:r>
        <w:rPr>
          <w:rFonts w:hint="default"/>
          <w:lang w:val="en-US"/>
        </w:rPr>
        <w:t xml:space="preserve">anjil </w:t>
      </w:r>
      <w:r>
        <w:t xml:space="preserve">Program Studi </w:t>
      </w:r>
      <w:r>
        <w:rPr>
          <w:lang w:val="en-US"/>
        </w:rPr>
        <w:t xml:space="preserve">PGSD </w:t>
      </w:r>
      <w:r>
        <w:t>Fakultas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Berastagi</w:t>
      </w:r>
      <w:r>
        <w:rPr>
          <w:spacing w:val="5"/>
        </w:rPr>
        <w:t xml:space="preserve"> </w:t>
      </w:r>
      <w:r>
        <w:t>Tahun Akademik 20</w:t>
      </w:r>
      <w:r>
        <w:rPr>
          <w:rFonts w:hint="default"/>
          <w:lang w:val="en-US"/>
        </w:rPr>
        <w:t>20/2021</w:t>
      </w: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Aspek-aspek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Dinilai</w:t>
      </w:r>
    </w:p>
    <w:p>
      <w:pPr>
        <w:pStyle w:val="5"/>
        <w:spacing w:before="128" w:line="360" w:lineRule="auto"/>
        <w:ind w:left="544" w:right="610" w:firstLine="684"/>
        <w:jc w:val="both"/>
      </w:pPr>
      <w:r>
        <w:t xml:space="preserve">Aspek-aspek Monitoring dan Evaluasi yang dinilai pada Semester </w:t>
      </w:r>
      <w:r>
        <w:rPr>
          <w:lang w:val="en-US"/>
        </w:rPr>
        <w:t>Ganjil</w:t>
      </w:r>
      <w:r>
        <w:t xml:space="preserve"> 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</w:t>
      </w:r>
      <w:r>
        <w:t xml:space="preserve">Fakultas </w:t>
      </w:r>
      <w:r>
        <w:rPr>
          <w:lang w:val="en-US"/>
        </w:rPr>
        <w:t>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12 komponen yaitu: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4"/>
          <w:sz w:val="24"/>
        </w:rPr>
        <w:t xml:space="preserve"> </w:t>
      </w:r>
      <w:r>
        <w:rPr>
          <w:sz w:val="24"/>
        </w:rPr>
        <w:t>penerimaan</w:t>
      </w:r>
      <w:r>
        <w:rPr>
          <w:spacing w:val="7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2"/>
        </w:numPr>
        <w:tabs>
          <w:tab w:val="left" w:pos="1121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 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rPr>
          <w:sz w:val="24"/>
        </w:rPr>
        <w:sectPr>
          <w:pgSz w:w="11920" w:h="16860"/>
          <w:pgMar w:top="760" w:right="400" w:bottom="280" w:left="1120" w:header="720" w:footer="720" w:gutter="0"/>
          <w:cols w:space="720" w:num="1"/>
        </w:sectPr>
      </w:pPr>
    </w:p>
    <w:p>
      <w:pPr>
        <w:pStyle w:val="2"/>
        <w:spacing w:before="68"/>
        <w:ind w:left="1820" w:right="2252"/>
      </w:pPr>
      <w:r>
        <w:t>BAB</w:t>
      </w:r>
      <w:r>
        <w:rPr>
          <w:spacing w:val="-2"/>
        </w:rPr>
        <w:t xml:space="preserve"> </w:t>
      </w:r>
      <w:r>
        <w:t>II</w:t>
      </w:r>
    </w:p>
    <w:p>
      <w:pPr>
        <w:spacing w:before="124"/>
        <w:ind w:left="1815" w:right="2252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"/>
        <w:ind w:right="0" w:hanging="429"/>
        <w:jc w:val="both"/>
      </w:pPr>
      <w:r>
        <w:t>Metode</w:t>
      </w:r>
      <w:r>
        <w:rPr>
          <w:spacing w:val="-2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>
      <w:pPr>
        <w:pStyle w:val="5"/>
        <w:spacing w:before="124" w:line="360" w:lineRule="auto"/>
        <w:ind w:left="340" w:right="683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spacing w:val="9"/>
        </w:rPr>
        <w:t xml:space="preserve">manual </w:t>
      </w:r>
      <w:r>
        <w:t>agar</w:t>
      </w:r>
      <w:r>
        <w:rPr>
          <w:spacing w:val="60"/>
        </w:rPr>
        <w:t xml:space="preserve"> </w:t>
      </w:r>
      <w:r>
        <w:t>dapat meningkatkan kualitas pembelajaran</w:t>
      </w:r>
      <w:r>
        <w:rPr>
          <w:rFonts w:hint="default"/>
          <w:lang w:val="en-US"/>
        </w:rPr>
        <w:t xml:space="preserve"> d</w:t>
      </w:r>
      <w:r>
        <w:t xml:space="preserve">i 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F</w:t>
      </w:r>
      <w:r>
        <w:t>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instrumen yang telah disusun oleh Ketua Lembaga Penjamin Mutu Internal (LPMI) dan Gugus</w:t>
      </w:r>
      <w:r>
        <w:rPr>
          <w:spacing w:val="1"/>
        </w:rPr>
        <w:t xml:space="preserve"> </w:t>
      </w:r>
      <w:r>
        <w:t>Penjamin Mutu (GPM) setiap Fakultas yang ada di Universitas Quality Berastagi meliputi 12</w:t>
      </w:r>
      <w:r>
        <w:rPr>
          <w:spacing w:val="1"/>
        </w:rPr>
        <w:t xml:space="preserve"> </w:t>
      </w:r>
      <w:r>
        <w:t>instrumen yang meliputi: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line="273" w:lineRule="exact"/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 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81"/>
        <w:ind w:right="0" w:hanging="429"/>
        <w:jc w:val="both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132" w:line="360" w:lineRule="auto"/>
        <w:ind w:left="176" w:right="621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t>-UQB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 menjalankan instrumen angket atau kuesioner menggunakan skala likert dengan dengan</w:t>
      </w:r>
      <w:r>
        <w:rPr>
          <w:spacing w:val="1"/>
        </w:rPr>
        <w:t xml:space="preserve"> </w:t>
      </w:r>
      <w:r>
        <w:t>pemberian skor yakni: Sangat tidak puas nilai 1; tidak puas nilai 2; puas nilai 3; dan sangat puas</w:t>
      </w:r>
      <w:r>
        <w:rPr>
          <w:spacing w:val="1"/>
        </w:rPr>
        <w:t xml:space="preserve"> </w:t>
      </w:r>
      <w:r>
        <w:t>nilai 4. Untuk menunjukkan keabsahan dari instrumen yang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 SPSS.</w:t>
      </w:r>
    </w:p>
    <w:p>
      <w:pPr>
        <w:spacing w:line="360" w:lineRule="auto"/>
        <w:jc w:val="both"/>
        <w:sectPr>
          <w:pgSz w:w="11920" w:h="16860"/>
          <w:pgMar w:top="1060" w:right="400" w:bottom="280" w:left="1120" w:header="720" w:footer="720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III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DESKRIPSI</w:t>
      </w: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HASIL</w:t>
      </w:r>
    </w:p>
    <w:p>
      <w:pPr>
        <w:jc w:val="center"/>
        <w:rPr>
          <w:b/>
          <w:bCs/>
          <w:sz w:val="28"/>
          <w:szCs w:val="28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before="76"/>
        <w:ind w:left="536" w:right="0" w:hanging="361"/>
        <w:jc w:val="both"/>
      </w:pPr>
      <w:r>
        <w:t>Hasil</w:t>
      </w:r>
      <w:r>
        <w:rPr>
          <w:spacing w:val="-3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Deskripsi</w:t>
      </w:r>
      <w:r>
        <w:rPr>
          <w:spacing w:val="-7"/>
        </w:rPr>
        <w:t xml:space="preserve"> </w:t>
      </w:r>
      <w:r>
        <w:t>Frekuensi</w:t>
      </w:r>
    </w:p>
    <w:p>
      <w:pPr>
        <w:pStyle w:val="5"/>
        <w:spacing w:before="124" w:line="360" w:lineRule="auto"/>
        <w:ind w:left="176" w:right="686"/>
        <w:jc w:val="both"/>
      </w:pPr>
      <w:r>
        <w:t>Pada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2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 xml:space="preserve">Program Studi </w:t>
      </w:r>
      <w:r>
        <w:rPr>
          <w:lang w:val="en-US"/>
        </w:rPr>
        <w:t>P</w:t>
      </w:r>
      <w:r>
        <w:rPr>
          <w:rFonts w:hint="default"/>
          <w:lang w:val="en-US"/>
        </w:rPr>
        <w:t>endidikan Olahraga</w:t>
      </w:r>
      <w:r>
        <w:rPr>
          <w:lang w:val="en-US"/>
        </w:rPr>
        <w:t xml:space="preserve"> FKIP</w:t>
      </w:r>
      <w:r>
        <w:rPr>
          <w:spacing w:val="-6"/>
        </w:rPr>
        <w:t xml:space="preserve"> </w:t>
      </w:r>
      <w:r>
        <w:t>Universitas</w:t>
      </w:r>
      <w:r>
        <w:rPr>
          <w:spacing w:val="-10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Berastagi</w:t>
      </w:r>
      <w:r>
        <w:rPr>
          <w:spacing w:val="-14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rPr>
          <w:lang w:val="en-US"/>
        </w:rPr>
        <w:t xml:space="preserve">12 </w:t>
      </w:r>
      <w:r>
        <w:t>item</w:t>
      </w:r>
      <w:r>
        <w:rPr>
          <w:spacing w:val="-2"/>
        </w:rPr>
        <w:t xml:space="preserve"> </w:t>
      </w:r>
      <w:r>
        <w:t>pertanyaan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mahasiswa.</w:t>
      </w:r>
      <w:r>
        <w:rPr>
          <w:spacing w:val="6"/>
        </w:rPr>
        <w:t xml:space="preserve"> </w:t>
      </w:r>
      <w:r>
        <w:t>Data tersebut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 berikut</w:t>
      </w:r>
      <w:r>
        <w:rPr>
          <w:spacing w:val="-1"/>
        </w:rPr>
        <w:t xml:space="preserve"> </w:t>
      </w:r>
      <w:r>
        <w:t>ini:</w:t>
      </w:r>
    </w:p>
    <w:p>
      <w:pPr>
        <w:pStyle w:val="5"/>
        <w:spacing w:before="9"/>
        <w:rPr>
          <w:sz w:val="22"/>
        </w:rPr>
      </w:pP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line="272" w:lineRule="exact"/>
        <w:ind w:left="536" w:right="0" w:hanging="361"/>
        <w:jc w:val="left"/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line="272" w:lineRule="exact"/>
        <w:ind w:left="536" w:right="0" w:hanging="361"/>
        <w:jc w:val="left"/>
      </w:pPr>
      <w:r>
        <w:t>Deskripsi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Monitoring</w:t>
      </w:r>
      <w:r>
        <w:rPr>
          <w:spacing w:val="1"/>
        </w:rPr>
        <w:t xml:space="preserve"> </w:t>
      </w:r>
    </w:p>
    <w:p>
      <w:pPr>
        <w:pStyle w:val="2"/>
        <w:tabs>
          <w:tab w:val="left" w:pos="537"/>
        </w:tabs>
        <w:spacing w:line="272" w:lineRule="exact"/>
        <w:ind w:left="536" w:right="0"/>
        <w:jc w:val="left"/>
      </w:pPr>
    </w:p>
    <w:p>
      <w:pPr>
        <w:pStyle w:val="5"/>
        <w:spacing w:before="1"/>
        <w:ind w:left="100" w:right="12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Laporan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disusun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sebagai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bentuk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pertanggungjawaban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terhadap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penyebaran</w:t>
      </w:r>
      <w:r>
        <w:rPr>
          <w:rFonts w:asciiTheme="minorHAnsi" w:hAnsiTheme="minorHAnsi" w:cstheme="minorHAnsi"/>
          <w:spacing w:val="55"/>
        </w:rPr>
        <w:t xml:space="preserve"> </w:t>
      </w:r>
      <w:r>
        <w:rPr>
          <w:rFonts w:asciiTheme="minorHAnsi" w:hAnsiTheme="minorHAnsi" w:cstheme="minorHAnsi"/>
        </w:rPr>
        <w:t>angket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spacing w:val="-52"/>
        </w:rPr>
        <w:t xml:space="preserve"> </w:t>
      </w:r>
      <w:r>
        <w:rPr>
          <w:rFonts w:asciiTheme="minorHAnsi" w:hAnsiTheme="minorHAnsi" w:cstheme="minorHAnsi"/>
        </w:rPr>
        <w:t>kuisioner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berisikan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lang w:val="en-US"/>
        </w:rPr>
        <w:t>Kepuasan Mahasiswa terhadap Layanan Kemahasiswaan</w:t>
      </w:r>
      <w:r>
        <w:rPr>
          <w:rFonts w:asciiTheme="minorHAnsi" w:hAnsiTheme="minorHAnsi" w:cstheme="minorHAnsi"/>
        </w:rPr>
        <w:t xml:space="preserve">. </w:t>
      </w:r>
      <w:r>
        <w:rPr>
          <w:rFonts w:eastAsia="Arial" w:asciiTheme="minorHAnsi" w:hAnsiTheme="minorHAnsi" w:cstheme="minorHAnsi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 w:asciiTheme="minorHAnsi" w:hAnsiTheme="minorHAnsi" w:cstheme="minorHAnsi"/>
          <w:color w:val="000000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Angket diberikan kepada </w:t>
      </w:r>
      <w:r>
        <w:rPr>
          <w:rFonts w:hint="default" w:asciiTheme="minorHAnsi" w:hAnsiTheme="minorHAnsi" w:cstheme="minorHAnsi"/>
          <w:lang w:val="en-US"/>
        </w:rPr>
        <w:t>22</w:t>
      </w:r>
      <w:r>
        <w:rPr>
          <w:rFonts w:asciiTheme="minorHAnsi" w:hAnsiTheme="minorHAnsi" w:cstheme="minorHAnsi"/>
          <w:lang w:val="en-US"/>
        </w:rPr>
        <w:t xml:space="preserve"> orang mahasiswa. Ada 12 pertanyaan yang sudah dinyatakan valid dan reliabel yang ditanyakan dalam kuesioner yang dibagikan. Secara keseluruhan hasil monitoring dapat dilihat pada diagram dibawah ini. 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831"/>
        <w:gridCol w:w="826"/>
        <w:gridCol w:w="822"/>
        <w:gridCol w:w="937"/>
        <w:gridCol w:w="942"/>
        <w:gridCol w:w="649"/>
        <w:gridCol w:w="640"/>
        <w:gridCol w:w="721"/>
        <w:gridCol w:w="644"/>
        <w:gridCol w:w="808"/>
        <w:gridCol w:w="640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restart"/>
            <w:shd w:val="clear" w:color="auto" w:fill="DAEDF3"/>
          </w:tcPr>
          <w:p>
            <w:pPr>
              <w:pStyle w:val="7"/>
              <w:rPr>
                <w:b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1"/>
              <w:ind w:left="1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Pernyataan/pertanyaan</w:t>
            </w:r>
          </w:p>
        </w:tc>
        <w:tc>
          <w:tcPr>
            <w:tcW w:w="2479" w:type="dxa"/>
            <w:gridSpan w:val="3"/>
            <w:vMerge w:val="restart"/>
            <w:shd w:val="clear" w:color="auto" w:fill="DAEDF3"/>
          </w:tcPr>
          <w:p>
            <w:pPr>
              <w:pStyle w:val="7"/>
              <w:spacing w:before="7"/>
              <w:rPr>
                <w:b/>
                <w:sz w:val="29"/>
              </w:rPr>
            </w:pPr>
          </w:p>
          <w:p>
            <w:pPr>
              <w:pStyle w:val="7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Uji </w:t>
            </w:r>
            <w:r>
              <w:rPr>
                <w:b/>
                <w:spacing w:val="-2"/>
                <w:sz w:val="20"/>
              </w:rPr>
              <w:t>Validitas</w:t>
            </w:r>
          </w:p>
        </w:tc>
        <w:tc>
          <w:tcPr>
            <w:tcW w:w="1879" w:type="dxa"/>
            <w:gridSpan w:val="2"/>
            <w:vMerge w:val="restart"/>
            <w:shd w:val="clear" w:color="auto" w:fill="DAEDF3"/>
          </w:tcPr>
          <w:p>
            <w:pPr>
              <w:pStyle w:val="7"/>
              <w:spacing w:before="7"/>
              <w:rPr>
                <w:b/>
                <w:sz w:val="29"/>
              </w:rPr>
            </w:pPr>
          </w:p>
          <w:p>
            <w:pPr>
              <w:pStyle w:val="7"/>
              <w:ind w:left="4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Reliabilitas</w:t>
            </w: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presentase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kepuasan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mahasiswa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33"/>
              <w:ind w:left="1645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Skala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Likert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spacing w:before="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2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3" w:type="dxa"/>
            <w:gridSpan w:val="2"/>
            <w:shd w:val="clear" w:color="auto" w:fill="DAEDF3"/>
          </w:tcPr>
          <w:p>
            <w:pPr>
              <w:pStyle w:val="7"/>
              <w:spacing w:before="2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shd w:val="clear" w:color="auto" w:fill="DAEDF3"/>
          </w:tcPr>
          <w:p>
            <w:pPr>
              <w:pStyle w:val="7"/>
              <w:spacing w:line="225" w:lineRule="exact"/>
              <w:ind w:left="94" w:right="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r_</w:t>
            </w:r>
          </w:p>
          <w:p>
            <w:pPr>
              <w:pStyle w:val="7"/>
              <w:spacing w:line="215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hitung</w:t>
            </w:r>
          </w:p>
        </w:tc>
        <w:tc>
          <w:tcPr>
            <w:tcW w:w="826" w:type="dxa"/>
            <w:shd w:val="clear" w:color="auto" w:fill="DAEDF3"/>
          </w:tcPr>
          <w:p>
            <w:pPr>
              <w:pStyle w:val="7"/>
              <w:spacing w:line="225" w:lineRule="exact"/>
              <w:ind w:left="159" w:right="1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r_</w:t>
            </w:r>
          </w:p>
          <w:p>
            <w:pPr>
              <w:pStyle w:val="7"/>
              <w:spacing w:line="215" w:lineRule="exact"/>
              <w:ind w:left="162" w:right="1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tabel</w:t>
            </w:r>
          </w:p>
        </w:tc>
        <w:tc>
          <w:tcPr>
            <w:tcW w:w="822" w:type="dxa"/>
            <w:shd w:val="clear" w:color="auto" w:fill="DAEDF3"/>
          </w:tcPr>
          <w:p>
            <w:pPr>
              <w:pStyle w:val="7"/>
              <w:spacing w:before="110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Ket</w:t>
            </w:r>
          </w:p>
        </w:tc>
        <w:tc>
          <w:tcPr>
            <w:tcW w:w="937" w:type="dxa"/>
            <w:shd w:val="clear" w:color="auto" w:fill="DAEDF3"/>
          </w:tcPr>
          <w:p>
            <w:pPr>
              <w:pStyle w:val="7"/>
              <w:spacing w:line="225" w:lineRule="exact"/>
              <w:ind w:left="88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Varians</w:t>
            </w:r>
          </w:p>
          <w:p>
            <w:pPr>
              <w:pStyle w:val="7"/>
              <w:spacing w:line="215" w:lineRule="exact"/>
              <w:ind w:left="88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Butir</w:t>
            </w:r>
          </w:p>
        </w:tc>
        <w:tc>
          <w:tcPr>
            <w:tcW w:w="942" w:type="dxa"/>
            <w:shd w:val="clear" w:color="auto" w:fill="DAEDF3"/>
          </w:tcPr>
          <w:p>
            <w:pPr>
              <w:pStyle w:val="7"/>
              <w:spacing w:line="225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Relia</w:t>
            </w:r>
          </w:p>
          <w:p>
            <w:pPr>
              <w:pStyle w:val="7"/>
              <w:spacing w:line="215" w:lineRule="exact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bilitas</w:t>
            </w: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7"/>
              <w:spacing w:before="11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4" w:type="dxa"/>
            <w:shd w:val="clear" w:color="auto" w:fill="DAEDF3"/>
          </w:tcPr>
          <w:p>
            <w:pPr>
              <w:pStyle w:val="7"/>
              <w:spacing w:before="110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08" w:type="dxa"/>
            <w:shd w:val="clear" w:color="auto" w:fill="DAEDF3"/>
          </w:tcPr>
          <w:p>
            <w:pPr>
              <w:pStyle w:val="7"/>
              <w:spacing w:before="11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13" w:type="dxa"/>
            <w:shd w:val="clear" w:color="auto" w:fill="DAEDF3"/>
          </w:tcPr>
          <w:p>
            <w:pPr>
              <w:pStyle w:val="7"/>
              <w:spacing w:before="11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1.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sistem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  <w:spacing w:val="-2"/>
              </w:rPr>
              <w:t>seleksi</w:t>
            </w:r>
          </w:p>
          <w:p>
            <w:pPr>
              <w:pStyle w:val="7"/>
              <w:spacing w:before="2" w:line="239" w:lineRule="exact"/>
              <w:ind w:left="460"/>
              <w:rPr>
                <w:rFonts w:ascii="Arial Narrow"/>
              </w:rPr>
            </w:pPr>
            <w:r>
              <w:rPr>
                <w:rFonts w:ascii="Arial Narrow"/>
              </w:rPr>
              <w:t>penerimaan</w:t>
            </w:r>
            <w:r>
              <w:rPr>
                <w:rFonts w:ascii="Arial Narrow"/>
                <w:spacing w:val="-14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4"/>
              </w:rPr>
              <w:t>baru</w:t>
            </w:r>
          </w:p>
        </w:tc>
        <w:tc>
          <w:tcPr>
            <w:tcW w:w="831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08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31,82</w:t>
            </w: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13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63,64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2.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Keadaanatas</w:t>
            </w:r>
            <w:r>
              <w:rPr>
                <w:rFonts w:ascii="Arial Narrow"/>
                <w:spacing w:val="-13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</w:rPr>
              <w:t>administrasi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2"/>
              </w:rPr>
              <w:t>akdemik</w:t>
            </w:r>
          </w:p>
        </w:tc>
        <w:tc>
          <w:tcPr>
            <w:tcW w:w="831" w:type="dxa"/>
          </w:tcPr>
          <w:p>
            <w:pPr>
              <w:pStyle w:val="7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0,58</w:t>
            </w:r>
          </w:p>
        </w:tc>
        <w:tc>
          <w:tcPr>
            <w:tcW w:w="826" w:type="dxa"/>
          </w:tcPr>
          <w:p>
            <w:pPr>
              <w:pStyle w:val="7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3.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Kinerja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Dosen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0,67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4.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Pembimbingan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  <w:spacing w:val="-2"/>
              </w:rPr>
              <w:t>Akademik</w:t>
            </w:r>
          </w:p>
        </w:tc>
        <w:tc>
          <w:tcPr>
            <w:tcW w:w="831" w:type="dxa"/>
          </w:tcPr>
          <w:p>
            <w:pPr>
              <w:pStyle w:val="7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0,79</w:t>
            </w:r>
          </w:p>
        </w:tc>
        <w:tc>
          <w:tcPr>
            <w:tcW w:w="826" w:type="dxa"/>
          </w:tcPr>
          <w:p>
            <w:pPr>
              <w:pStyle w:val="7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0,36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5.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Pelayanan</w:t>
            </w:r>
            <w:r>
              <w:rPr>
                <w:rFonts w:ascii="Arial Narrow"/>
                <w:spacing w:val="56"/>
                <w:w w:val="150"/>
              </w:rPr>
              <w:t xml:space="preserve"> </w:t>
            </w:r>
            <w:r>
              <w:rPr>
                <w:rFonts w:ascii="Arial Narrow"/>
                <w:spacing w:val="-2"/>
              </w:rPr>
              <w:t>konseling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0,50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0,36</w:t>
            </w:r>
          </w:p>
        </w:tc>
        <w:tc>
          <w:tcPr>
            <w:tcW w:w="942" w:type="dxa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6.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Bimbingan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karir</w:t>
            </w:r>
            <w:r>
              <w:rPr>
                <w:rFonts w:ascii="Arial Narrow"/>
                <w:spacing w:val="-4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kewirausahaan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0,55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59,09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7.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Penalaran,</w:t>
            </w:r>
          </w:p>
        </w:tc>
        <w:tc>
          <w:tcPr>
            <w:tcW w:w="831" w:type="dxa"/>
          </w:tcPr>
          <w:p>
            <w:pPr>
              <w:pStyle w:val="7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0,84</w:t>
            </w:r>
          </w:p>
        </w:tc>
        <w:tc>
          <w:tcPr>
            <w:tcW w:w="826" w:type="dxa"/>
          </w:tcPr>
          <w:p>
            <w:pPr>
              <w:pStyle w:val="7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8.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Minat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Bakat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0,66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9.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2"/>
              </w:rPr>
              <w:t>Beasiswa</w:t>
            </w:r>
          </w:p>
        </w:tc>
        <w:tc>
          <w:tcPr>
            <w:tcW w:w="831" w:type="dxa"/>
          </w:tcPr>
          <w:p>
            <w:pPr>
              <w:pStyle w:val="7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7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0,21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27,27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72,73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</w:rPr>
              <w:t>10.</w:t>
            </w:r>
            <w:r>
              <w:rPr>
                <w:rFonts w:ascii="Arial Narrow"/>
                <w:spacing w:val="49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  <w:spacing w:val="-2"/>
              </w:rPr>
              <w:t>Kesehatan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0,80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36,36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59,09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hanging="360"/>
              <w:rPr>
                <w:rFonts w:ascii="Arial Narrow"/>
              </w:rPr>
            </w:pPr>
            <w:r>
              <w:rPr>
                <w:rFonts w:ascii="Arial Narrow"/>
              </w:rPr>
              <w:t>11.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pelatihan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komputer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bagi seluruh mahasiswa</w:t>
            </w:r>
          </w:p>
        </w:tc>
        <w:tc>
          <w:tcPr>
            <w:tcW w:w="831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0,80</w:t>
            </w:r>
          </w:p>
        </w:tc>
        <w:tc>
          <w:tcPr>
            <w:tcW w:w="826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08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31,82</w:t>
            </w: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63,64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right="211" w:hanging="360"/>
              <w:rPr>
                <w:rFonts w:ascii="Arial Narrow"/>
              </w:rPr>
            </w:pPr>
            <w:r>
              <w:rPr>
                <w:rFonts w:ascii="Arial Narrow"/>
              </w:rPr>
              <w:t>12.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Kursus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Bahasa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Inggris bagi seluruh mahasiswa</w:t>
            </w:r>
          </w:p>
        </w:tc>
        <w:tc>
          <w:tcPr>
            <w:tcW w:w="831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08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gridSpan w:val="3"/>
          </w:tcPr>
          <w:p>
            <w:pPr>
              <w:pStyle w:val="7"/>
              <w:spacing w:before="71" w:line="211" w:lineRule="exact"/>
              <w:ind w:left="905" w:right="8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937" w:type="dxa"/>
          </w:tcPr>
          <w:p>
            <w:pPr>
              <w:pStyle w:val="7"/>
              <w:ind w:left="108"/>
            </w:pPr>
            <w:r>
              <w:rPr>
                <w:spacing w:val="-4"/>
              </w:rPr>
              <w:t>3,72</w:t>
            </w:r>
          </w:p>
        </w:tc>
        <w:tc>
          <w:tcPr>
            <w:tcW w:w="94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gridSpan w:val="3"/>
          </w:tcPr>
          <w:p>
            <w:pPr>
              <w:pStyle w:val="7"/>
              <w:spacing w:before="71" w:line="211" w:lineRule="exact"/>
              <w:ind w:left="734"/>
              <w:rPr>
                <w:sz w:val="20"/>
              </w:rPr>
            </w:pPr>
            <w:r>
              <w:rPr>
                <w:sz w:val="20"/>
              </w:rPr>
              <w:t>Varian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37" w:type="dxa"/>
          </w:tcPr>
          <w:p>
            <w:pPr>
              <w:pStyle w:val="7"/>
              <w:ind w:left="108"/>
            </w:pPr>
            <w:r>
              <w:rPr>
                <w:spacing w:val="-2"/>
              </w:rPr>
              <w:t>19,30</w:t>
            </w:r>
          </w:p>
        </w:tc>
        <w:tc>
          <w:tcPr>
            <w:tcW w:w="94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1"/>
        <w:ind w:right="122"/>
        <w:jc w:val="both"/>
        <w:rPr>
          <w:rFonts w:ascii="Calibri"/>
          <w:lang w:val="en-US"/>
        </w:rPr>
        <w:sectPr>
          <w:pgSz w:w="16850" w:h="11910" w:orient="landscape"/>
          <w:pgMar w:top="1339" w:right="980" w:bottom="1022" w:left="1267" w:header="0" w:footer="1066" w:gutter="0"/>
          <w:cols w:space="0" w:num="1"/>
          <w:rtlGutter w:val="0"/>
          <w:docGrid w:linePitch="0" w:charSpace="0"/>
        </w:sectPr>
      </w:pPr>
    </w:p>
    <w:p>
      <w:pPr>
        <w:pStyle w:val="5"/>
        <w:spacing w:before="1"/>
        <w:ind w:left="100" w:right="12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Secara keseluruhan hasil monitoring dapat dilihat pada diagram dibawah ini. </w:t>
      </w:r>
    </w:p>
    <w:p>
      <w:pPr>
        <w:pStyle w:val="5"/>
        <w:spacing w:before="1"/>
        <w:ind w:left="100" w:right="122"/>
        <w:jc w:val="left"/>
        <w:rPr>
          <w:rFonts w:ascii="Calibri"/>
          <w:lang w:val="en-US"/>
        </w:rPr>
      </w:pPr>
      <w:r>
        <w:drawing>
          <wp:inline distT="0" distB="0" distL="114300" distR="114300">
            <wp:extent cx="5905500" cy="2251710"/>
            <wp:effectExtent l="0" t="0" r="0" b="1524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sistem penerimaan mahasiswa baru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administrasi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Kinerja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pembimbingan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Pelayanan konseling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Bimbingan karir dan kewirausahaan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penalaran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minat dan bakat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beasiswa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kesehatan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pelatihan computer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3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kursus bahasa inggris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pacing w:before="52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  <w:lang w:val="en-US"/>
        </w:rPr>
        <w:t>TEMUA</w:t>
      </w:r>
      <w:r>
        <w:rPr>
          <w:rFonts w:hint="default"/>
          <w:b/>
          <w:sz w:val="24"/>
          <w:lang w:val="en-US"/>
        </w:rPr>
        <w:t>N</w:t>
      </w:r>
    </w:p>
    <w:p>
      <w:pPr>
        <w:pStyle w:val="5"/>
        <w:rPr>
          <w:rFonts w:hint="default"/>
          <w:b/>
          <w:lang w:val="en-US"/>
        </w:rPr>
      </w:pPr>
      <w:r>
        <w:rPr>
          <w:rFonts w:hint="default"/>
          <w:b w:val="0"/>
          <w:bCs/>
          <w:sz w:val="24"/>
          <w:lang w:val="en-US"/>
        </w:rPr>
        <w:t>Mahasiswa masih terkendala pada layanan pembimbingan akademik dikarenakan kondisi PTM dan bimbingan kewirausahawan.</w:t>
      </w: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MAHASISWA TERHADAP LAYANAN KEMAHASISWAAN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rFonts w:hint="default"/>
          <w:b/>
          <w:bCs/>
          <w:sz w:val="24"/>
          <w:szCs w:val="24"/>
          <w:lang w:val="en-US"/>
        </w:rPr>
        <w:t xml:space="preserve">Empat </w:t>
      </w:r>
      <w:r>
        <w:rPr>
          <w:sz w:val="24"/>
          <w:szCs w:val="24"/>
        </w:rPr>
        <w:t>bulan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November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Dua Ribu Dua Puluh </w:t>
      </w:r>
      <w:r>
        <w:rPr>
          <w:sz w:val="24"/>
          <w:szCs w:val="24"/>
        </w:rPr>
        <w:t xml:space="preserve">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 xml:space="preserve">KEPUASAN MAHASISWA TERHADAP LAYANAN KEMAHASISWAAN </w:t>
      </w:r>
      <w:r>
        <w:rPr>
          <w:rFonts w:hint="default"/>
          <w:b/>
          <w:bCs/>
          <w:sz w:val="24"/>
          <w:szCs w:val="24"/>
          <w:lang w:val="en-US"/>
        </w:rPr>
        <w:t xml:space="preserve">PRODI PENDIDIKAN OLAHRAGA </w:t>
      </w:r>
      <w:r>
        <w:rPr>
          <w:b/>
          <w:bCs/>
          <w:sz w:val="24"/>
          <w:szCs w:val="24"/>
          <w:lang w:val="en-US"/>
        </w:rPr>
        <w:t>FKIP-UQB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Julius Boy Nesra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Program Studi Pendidikan </w:t>
            </w:r>
            <w:r>
              <w:rPr>
                <w:rFonts w:hint="default"/>
                <w:sz w:val="24"/>
                <w:szCs w:val="24"/>
                <w:lang w:val="en-US"/>
              </w:rPr>
              <w:t>Olahraga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Follow Up kepada bagian terkait, dalam hal ini dosen pembimbing akademik dan</w:t>
      </w:r>
      <w:bookmarkStart w:id="0" w:name="_GoBack"/>
      <w:bookmarkEnd w:id="0"/>
      <w:r>
        <w:rPr>
          <w:rFonts w:hint="default"/>
          <w:b/>
          <w:bCs/>
          <w:lang w:val="en-US"/>
        </w:rPr>
        <w:t xml:space="preserve"> unit Korgima untuk meningkatkan pelayanan kepada mahasiswa.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Berastagi, </w:t>
      </w:r>
      <w:r>
        <w:rPr>
          <w:rFonts w:hint="default"/>
          <w:sz w:val="24"/>
          <w:szCs w:val="24"/>
          <w:lang w:val="en-US"/>
        </w:rPr>
        <w:t>4 November 2020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/>
    <w:sectPr>
      <w:footerReference r:id="rId6" w:type="default"/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16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6192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DvA3asmBAAAJw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A413D"/>
    <w:multiLevelType w:val="multilevel"/>
    <w:tmpl w:val="120A413D"/>
    <w:lvl w:ilvl="0" w:tentative="0">
      <w:start w:val="1"/>
      <w:numFmt w:val="decimal"/>
      <w:lvlText w:val="%1."/>
      <w:lvlJc w:val="left"/>
      <w:pPr>
        <w:ind w:left="5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45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28" w:hanging="360"/>
      </w:pPr>
      <w:rPr>
        <w:rFonts w:hint="default"/>
        <w:lang w:val="id" w:eastAsia="en-US" w:bidi="ar-SA"/>
      </w:rPr>
    </w:lvl>
  </w:abstractNum>
  <w:abstractNum w:abstractNumId="1">
    <w:nsid w:val="20687830"/>
    <w:multiLevelType w:val="multilevel"/>
    <w:tmpl w:val="20687830"/>
    <w:lvl w:ilvl="0" w:tentative="0">
      <w:start w:val="2"/>
      <w:numFmt w:val="decimal"/>
      <w:lvlText w:val="%1"/>
      <w:lvlJc w:val="left"/>
      <w:pPr>
        <w:ind w:left="728" w:hanging="42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728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42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24" w:hanging="42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42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42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96" w:hanging="42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428"/>
      </w:pPr>
      <w:rPr>
        <w:rFonts w:hint="default"/>
        <w:lang w:val="id" w:eastAsia="en-US" w:bidi="ar-SA"/>
      </w:rPr>
    </w:lvl>
  </w:abstractNum>
  <w:abstractNum w:abstractNumId="2">
    <w:nsid w:val="28527CE3"/>
    <w:multiLevelType w:val="multilevel"/>
    <w:tmpl w:val="28527C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77611"/>
    <w:multiLevelType w:val="multilevel"/>
    <w:tmpl w:val="39677611"/>
    <w:lvl w:ilvl="0" w:tentative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97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544" w:hanging="360"/>
      </w:pPr>
      <w:rPr>
        <w:rFonts w:hint="default"/>
        <w:lang w:val="id" w:eastAsia="en-US" w:bidi="ar-SA"/>
      </w:rPr>
    </w:lvl>
  </w:abstractNum>
  <w:abstractNum w:abstractNumId="4">
    <w:nsid w:val="46C53882"/>
    <w:multiLevelType w:val="multilevel"/>
    <w:tmpl w:val="46C53882"/>
    <w:lvl w:ilvl="0" w:tentative="0">
      <w:start w:val="3"/>
      <w:numFmt w:val="decimal"/>
      <w:lvlText w:val="%1"/>
      <w:lvlJc w:val="left"/>
      <w:pPr>
        <w:ind w:left="296" w:hanging="360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29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96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6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77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360"/>
      </w:pPr>
      <w:rPr>
        <w:rFonts w:hint="default"/>
        <w:lang w:val="id" w:eastAsia="en-US" w:bidi="ar-SA"/>
      </w:rPr>
    </w:lvl>
  </w:abstractNum>
  <w:abstractNum w:abstractNumId="5">
    <w:nsid w:val="6A4531E3"/>
    <w:multiLevelType w:val="multilevel"/>
    <w:tmpl w:val="6A4531E3"/>
    <w:lvl w:ilvl="0" w:tentative="0">
      <w:start w:val="1"/>
      <w:numFmt w:val="decimal"/>
      <w:lvlText w:val="%1"/>
      <w:lvlJc w:val="left"/>
      <w:pPr>
        <w:ind w:left="948" w:hanging="433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948" w:hanging="4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5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9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95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67BE7"/>
    <w:rsid w:val="598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microsoft.com/office/2007/relationships/hdphoto" Target="../NUL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2022-06-16T15:10:00Z</dcterms:created>
  <dc:creator>Acer</dc:creator>
  <cp:lastModifiedBy>Acer</cp:lastModifiedBy>
  <dcterms:modified xsi:type="dcterms:W3CDTF">2022-06-16T15:26:14Z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9C153640A22F41A4950C43CC55A4BF73</vt:lpwstr>
  </property>
</Properties>
</file>