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MAHASISWA TERHADAP LAYANAN DAN PROSES PENDIDIKAN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2018/2019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  <w:lang w:val="en-US"/>
        </w:rPr>
        <w:t>KEPUASAN MAHASISWA TERHADAP LAYANAN DAN PROSES PENDIDIKAN</w:t>
      </w: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  <w:lang w:val="en-US"/>
        </w:rPr>
        <w:t>PROGRAM STUDI PGSD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color w:val="1F2023"/>
          <w:lang w:val="en-US"/>
        </w:rPr>
        <w:t>2018/2019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6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6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Maret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rFonts w:hint="default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6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6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6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6"/>
              <w:ind w:left="874"/>
              <w:rPr>
                <w:sz w:val="20"/>
              </w:rPr>
            </w:pPr>
          </w:p>
          <w:p>
            <w:pPr>
              <w:pStyle w:val="6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6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6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6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0"/>
              <w:rPr>
                <w:sz w:val="20"/>
              </w:rPr>
            </w:pPr>
          </w:p>
          <w:p>
            <w:pPr>
              <w:pStyle w:val="6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6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6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6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6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6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dan Proses Pendidikan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dan proses Pendidikan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27"/>
        <w:ind w:left="2003" w:right="2029"/>
        <w:rPr>
          <w:color w:val="1F2023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  <w:r>
        <w:rPr>
          <w:color w:val="1F2023"/>
          <w:lang w:val="en-US"/>
        </w:rPr>
        <w:t xml:space="preserve"> TERHADAP KEPUASAN MAHASISWA DALAM LAYANAN DAN PROSES PENDIDIKAN</w:t>
      </w:r>
    </w:p>
    <w:p>
      <w:pPr>
        <w:pStyle w:val="2"/>
        <w:spacing w:before="27"/>
        <w:ind w:left="2003" w:right="2029"/>
        <w:rPr>
          <w:b w:val="0"/>
          <w:color w:val="1F2023"/>
          <w:lang w:val="en-US"/>
        </w:rPr>
      </w:pPr>
      <w:r>
        <w:rPr>
          <w:color w:val="1F2023"/>
        </w:rPr>
        <w:t xml:space="preserve">FAKULTAS </w:t>
      </w:r>
      <w:r>
        <w:rPr>
          <w:color w:val="1F2023"/>
          <w:lang w:val="en-US"/>
        </w:rPr>
        <w:t>KEGURUAN DAN ILMU PENDIDIKAN</w:t>
      </w:r>
      <w:r>
        <w:rPr>
          <w:color w:val="1F2023"/>
        </w:rPr>
        <w:t xml:space="preserve"> UNIVERSITAS QUALI</w:t>
      </w:r>
      <w:r>
        <w:rPr>
          <w:color w:val="1F2023"/>
          <w:lang w:val="en-US"/>
        </w:rPr>
        <w:t>TY BERASTAGI</w:t>
      </w:r>
    </w:p>
    <w:p>
      <w:pPr>
        <w:spacing w:before="1"/>
        <w:ind w:left="1422" w:right="1451"/>
        <w:jc w:val="center"/>
        <w:rPr>
          <w:rFonts w:hint="default" w:ascii="Calibri"/>
          <w:b/>
          <w:sz w:val="28"/>
          <w:lang w:val="en-US"/>
        </w:rPr>
      </w:pPr>
      <w:r>
        <w:rPr>
          <w:rFonts w:ascii="Calibri"/>
          <w:b/>
          <w:color w:val="1F2023"/>
          <w:sz w:val="28"/>
        </w:rPr>
        <w:t>SEMESTER</w:t>
      </w:r>
      <w:r>
        <w:rPr>
          <w:rFonts w:ascii="Calibri"/>
          <w:b/>
          <w:color w:val="1F2023"/>
          <w:spacing w:val="-1"/>
          <w:sz w:val="28"/>
        </w:rPr>
        <w:t xml:space="preserve"> </w:t>
      </w:r>
      <w:r>
        <w:rPr>
          <w:rFonts w:ascii="Calibri"/>
          <w:b/>
          <w:color w:val="1F2023"/>
          <w:sz w:val="28"/>
        </w:rPr>
        <w:t>GENAP</w:t>
      </w:r>
      <w:r>
        <w:rPr>
          <w:rFonts w:ascii="Calibri"/>
          <w:b/>
          <w:color w:val="1F2023"/>
          <w:spacing w:val="-1"/>
          <w:sz w:val="28"/>
        </w:rPr>
        <w:t xml:space="preserve"> </w:t>
      </w:r>
      <w:r>
        <w:rPr>
          <w:rFonts w:ascii="Calibri"/>
          <w:b/>
          <w:color w:val="1F2023"/>
          <w:sz w:val="28"/>
          <w:lang w:val="en-US"/>
        </w:rPr>
        <w:t>2018/2019</w:t>
      </w:r>
    </w:p>
    <w:p>
      <w:pPr>
        <w:pStyle w:val="5"/>
        <w:spacing w:before="11"/>
        <w:rPr>
          <w:rFonts w:ascii="Calibri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</w:rPr>
        <w:t>Laporan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disusun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sebagai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bentuk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pertanggungjawaban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terhadap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penyebaran</w:t>
      </w:r>
      <w:r>
        <w:rPr>
          <w:rFonts w:ascii="Calibri"/>
          <w:spacing w:val="55"/>
        </w:rPr>
        <w:t xml:space="preserve"> </w:t>
      </w:r>
      <w:r>
        <w:rPr>
          <w:rFonts w:ascii="Calibri"/>
        </w:rPr>
        <w:t>angket</w:t>
      </w:r>
      <w:r>
        <w:rPr>
          <w:rFonts w:ascii="Calibri"/>
          <w:lang w:val="en-US"/>
        </w:rPr>
        <w:t xml:space="preserve"> 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kuisioner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berisikan</w:t>
      </w:r>
      <w:r>
        <w:rPr>
          <w:rFonts w:ascii="Calibri"/>
          <w:spacing w:val="1"/>
        </w:rPr>
        <w:t xml:space="preserve"> </w:t>
      </w:r>
      <w:r>
        <w:rPr>
          <w:lang w:val="en-US"/>
        </w:rPr>
        <w:t>Kepuasan Mahasiswa terhadap layanan dan proses pendidikan di lingkungan Prodi PGSD-FKIP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Universitas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Quality</w:t>
      </w:r>
      <w:r>
        <w:rPr>
          <w:rFonts w:ascii="Calibri"/>
          <w:lang w:val="en-US"/>
        </w:rPr>
        <w:t xml:space="preserve"> Berastagi</w:t>
      </w:r>
      <w:r>
        <w:rPr>
          <w:rFonts w:ascii="Calibr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="Calibri"/>
          <w:lang w:val="en-US"/>
        </w:rPr>
        <w:t>Angket diberikan kepada 42 orang mahasiswa di lingkungan Prodi PGSD-FKIP UQB tahun pertama dan tahun kedua. Ada 5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tbl>
      <w:tblPr>
        <w:tblStyle w:val="4"/>
        <w:tblW w:w="0" w:type="auto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53" w:type="dxa"/>
            <w:vMerge w:val="restart"/>
            <w:shd w:val="clear" w:color="auto" w:fill="B6DDE8"/>
          </w:tcPr>
          <w:p>
            <w:pPr>
              <w:pStyle w:val="6"/>
              <w:spacing w:line="201" w:lineRule="exact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>
            <w:pPr>
              <w:pStyle w:val="6"/>
              <w:spacing w:before="39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>
            <w:pPr>
              <w:pStyle w:val="6"/>
              <w:spacing w:before="39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>
            <w:pPr>
              <w:pStyle w:val="6"/>
              <w:spacing w:before="87" w:line="192" w:lineRule="exact"/>
              <w:ind w:left="1295"/>
              <w:rPr>
                <w:b/>
                <w:sz w:val="18"/>
              </w:rPr>
            </w:pPr>
            <w:r>
              <w:rPr>
                <w:b/>
                <w:sz w:val="18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53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shd w:val="clear" w:color="auto" w:fill="B6DDE8"/>
          </w:tcPr>
          <w:p>
            <w:pPr>
              <w:pStyle w:val="6"/>
              <w:spacing w:line="201" w:lineRule="exact"/>
              <w:ind w:left="85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r_</w:t>
            </w:r>
          </w:p>
          <w:p>
            <w:pPr>
              <w:pStyle w:val="6"/>
              <w:spacing w:line="194" w:lineRule="exact"/>
              <w:ind w:left="88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>
            <w:pPr>
              <w:pStyle w:val="6"/>
              <w:spacing w:line="201" w:lineRule="exact"/>
              <w:ind w:left="8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r_</w:t>
            </w:r>
          </w:p>
          <w:p>
            <w:pPr>
              <w:pStyle w:val="6"/>
              <w:spacing w:line="194" w:lineRule="exact"/>
              <w:ind w:left="88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spacing w:line="194" w:lineRule="exact"/>
              <w:ind w:left="81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>
            <w:pPr>
              <w:pStyle w:val="6"/>
              <w:spacing w:line="201" w:lineRule="exact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Varians</w:t>
            </w:r>
          </w:p>
          <w:p>
            <w:pPr>
              <w:pStyle w:val="6"/>
              <w:spacing w:line="194" w:lineRule="exact"/>
              <w:ind w:left="8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>
            <w:pPr>
              <w:pStyle w:val="6"/>
              <w:spacing w:line="201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Relia</w:t>
            </w:r>
          </w:p>
          <w:p>
            <w:pPr>
              <w:pStyle w:val="6"/>
              <w:spacing w:line="194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5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line="194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6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line="194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spacing w:line="194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line="194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spacing w:line="19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line="19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spacing w:line="194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53" w:type="dxa"/>
          </w:tcPr>
          <w:p>
            <w:pPr>
              <w:pStyle w:val="6"/>
              <w:ind w:left="221" w:right="611" w:hanging="219"/>
              <w:rPr>
                <w:sz w:val="18"/>
              </w:rPr>
            </w:pPr>
            <w:r>
              <w:rPr>
                <w:sz w:val="18"/>
              </w:rPr>
              <w:t>1. Keandalan (reliability): kemampuan</w:t>
            </w:r>
          </w:p>
          <w:p>
            <w:pPr>
              <w:pStyle w:val="6"/>
              <w:tabs>
                <w:tab w:val="left" w:pos="1194"/>
              </w:tabs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dosen,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tenaga</w:t>
            </w:r>
          </w:p>
        </w:tc>
        <w:tc>
          <w:tcPr>
            <w:tcW w:w="7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307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638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17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409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68" w:type="dxa"/>
          </w:tcPr>
          <w:p>
            <w:pPr>
              <w:pStyle w:val="6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Relibel</w:t>
            </w:r>
          </w:p>
        </w:tc>
        <w:tc>
          <w:tcPr>
            <w:tcW w:w="616" w:type="dxa"/>
          </w:tcPr>
          <w:p>
            <w:pPr>
              <w:pStyle w:val="6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3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23,81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31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60" w:line="187" w:lineRule="exact"/>
              <w:ind w:left="96" w:right="70"/>
              <w:jc w:val="center"/>
              <w:rPr>
                <w:sz w:val="18"/>
              </w:rPr>
            </w:pPr>
            <w:r>
              <w:rPr>
                <w:sz w:val="18"/>
              </w:rPr>
              <w:t>76,19</w:t>
            </w:r>
          </w:p>
        </w:tc>
      </w:tr>
    </w:tbl>
    <w:p>
      <w:pPr>
        <w:spacing w:line="187" w:lineRule="exact"/>
        <w:jc w:val="center"/>
        <w:rPr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tbl>
      <w:tblPr>
        <w:tblStyle w:val="4"/>
        <w:tblW w:w="0" w:type="auto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  <w:vMerge w:val="restart"/>
            <w:shd w:val="clear" w:color="auto" w:fill="B6DDE8"/>
          </w:tcPr>
          <w:p>
            <w:pPr>
              <w:pStyle w:val="6"/>
              <w:spacing w:line="202" w:lineRule="exact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>
            <w:pPr>
              <w:pStyle w:val="6"/>
              <w:spacing w:before="42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>
            <w:pPr>
              <w:pStyle w:val="6"/>
              <w:spacing w:before="42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>
            <w:pPr>
              <w:pStyle w:val="6"/>
              <w:spacing w:before="88" w:line="192" w:lineRule="exact"/>
              <w:ind w:left="1295"/>
              <w:rPr>
                <w:b/>
                <w:sz w:val="18"/>
              </w:rPr>
            </w:pPr>
            <w:r>
              <w:rPr>
                <w:b/>
                <w:sz w:val="18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53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shd w:val="clear" w:color="auto" w:fill="B6DDE8"/>
          </w:tcPr>
          <w:p>
            <w:pPr>
              <w:pStyle w:val="6"/>
              <w:spacing w:line="201" w:lineRule="exact"/>
              <w:ind w:left="85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r_</w:t>
            </w:r>
          </w:p>
          <w:p>
            <w:pPr>
              <w:pStyle w:val="6"/>
              <w:spacing w:before="2" w:line="192" w:lineRule="exact"/>
              <w:ind w:left="88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>
            <w:pPr>
              <w:pStyle w:val="6"/>
              <w:spacing w:line="201" w:lineRule="exact"/>
              <w:ind w:left="8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r_</w:t>
            </w:r>
          </w:p>
          <w:p>
            <w:pPr>
              <w:pStyle w:val="6"/>
              <w:spacing w:before="2" w:line="192" w:lineRule="exact"/>
              <w:ind w:left="88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before="7"/>
              <w:rPr>
                <w:b/>
                <w:sz w:val="17"/>
              </w:rPr>
            </w:pPr>
          </w:p>
          <w:p>
            <w:pPr>
              <w:pStyle w:val="6"/>
              <w:spacing w:line="192" w:lineRule="exact"/>
              <w:ind w:left="81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>
            <w:pPr>
              <w:pStyle w:val="6"/>
              <w:spacing w:line="201" w:lineRule="exact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Varians</w:t>
            </w:r>
          </w:p>
          <w:p>
            <w:pPr>
              <w:pStyle w:val="6"/>
              <w:spacing w:before="2" w:line="192" w:lineRule="exact"/>
              <w:ind w:left="8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>
            <w:pPr>
              <w:pStyle w:val="6"/>
              <w:spacing w:line="201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Relia</w:t>
            </w:r>
          </w:p>
          <w:p>
            <w:pPr>
              <w:pStyle w:val="6"/>
              <w:spacing w:before="2" w:line="192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5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before="2" w:line="192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6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before="2" w:line="192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>
            <w:pPr>
              <w:pStyle w:val="6"/>
              <w:spacing w:before="7"/>
              <w:rPr>
                <w:b/>
                <w:sz w:val="17"/>
              </w:rPr>
            </w:pPr>
          </w:p>
          <w:p>
            <w:pPr>
              <w:pStyle w:val="6"/>
              <w:spacing w:line="192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before="2" w:line="192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>
            <w:pPr>
              <w:pStyle w:val="6"/>
              <w:spacing w:before="7"/>
              <w:rPr>
                <w:b/>
                <w:sz w:val="17"/>
              </w:rPr>
            </w:pPr>
          </w:p>
          <w:p>
            <w:pPr>
              <w:pStyle w:val="6"/>
              <w:spacing w:line="192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6"/>
              <w:spacing w:line="201" w:lineRule="exact"/>
              <w:ind w:left="8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</w:p>
          <w:p>
            <w:pPr>
              <w:pStyle w:val="6"/>
              <w:spacing w:before="2" w:line="192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>
            <w:pPr>
              <w:pStyle w:val="6"/>
              <w:spacing w:before="7"/>
              <w:rPr>
                <w:b/>
                <w:sz w:val="17"/>
              </w:rPr>
            </w:pPr>
          </w:p>
          <w:p>
            <w:pPr>
              <w:pStyle w:val="6"/>
              <w:spacing w:line="192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53" w:type="dxa"/>
          </w:tcPr>
          <w:p>
            <w:pPr>
              <w:pStyle w:val="6"/>
              <w:ind w:left="221" w:right="96"/>
              <w:jc w:val="both"/>
              <w:rPr>
                <w:sz w:val="18"/>
              </w:rPr>
            </w:pPr>
            <w:r>
              <w:rPr>
                <w:sz w:val="18"/>
              </w:rPr>
              <w:t>kependidikan, dan pengelola dalam memberikan</w:t>
            </w:r>
          </w:p>
          <w:p>
            <w:pPr>
              <w:pStyle w:val="6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pelayanan.</w:t>
            </w: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853" w:type="dxa"/>
          </w:tcPr>
          <w:p>
            <w:pPr>
              <w:pStyle w:val="6"/>
              <w:tabs>
                <w:tab w:val="left" w:pos="1094"/>
                <w:tab w:val="left" w:pos="1194"/>
                <w:tab w:val="left" w:pos="1254"/>
                <w:tab w:val="left" w:pos="1415"/>
                <w:tab w:val="left" w:pos="1446"/>
              </w:tabs>
              <w:ind w:left="221" w:right="95" w:hanging="21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Daya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tanggap </w:t>
            </w:r>
            <w:r>
              <w:rPr>
                <w:sz w:val="18"/>
              </w:rPr>
              <w:t>(responsiveness): kemauan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dari </w:t>
            </w:r>
            <w:r>
              <w:rPr>
                <w:sz w:val="18"/>
              </w:rPr>
              <w:t>dosen,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tenaga </w:t>
            </w:r>
            <w:r>
              <w:rPr>
                <w:sz w:val="18"/>
              </w:rPr>
              <w:t>kependidikan, dan pengelola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dalam </w:t>
            </w:r>
            <w:r>
              <w:rPr>
                <w:sz w:val="18"/>
              </w:rPr>
              <w:t>membantu mahasiswa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dan </w:t>
            </w:r>
            <w:r>
              <w:rPr>
                <w:sz w:val="18"/>
              </w:rPr>
              <w:t>memberikan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jasa</w:t>
            </w:r>
          </w:p>
          <w:p>
            <w:pPr>
              <w:pStyle w:val="6"/>
              <w:spacing w:line="189" w:lineRule="exact"/>
              <w:ind w:left="221"/>
              <w:rPr>
                <w:sz w:val="18"/>
              </w:rPr>
            </w:pPr>
            <w:r>
              <w:rPr>
                <w:sz w:val="18"/>
              </w:rPr>
              <w:t>dengan cepat.</w:t>
            </w:r>
          </w:p>
        </w:tc>
        <w:tc>
          <w:tcPr>
            <w:tcW w:w="7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0,68</w:t>
            </w:r>
          </w:p>
        </w:tc>
        <w:tc>
          <w:tcPr>
            <w:tcW w:w="638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0,69</w:t>
            </w:r>
          </w:p>
        </w:tc>
        <w:tc>
          <w:tcPr>
            <w:tcW w:w="768" w:type="dxa"/>
          </w:tcPr>
          <w:p>
            <w:pPr>
              <w:pStyle w:val="6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Relibel</w:t>
            </w:r>
          </w:p>
        </w:tc>
        <w:tc>
          <w:tcPr>
            <w:tcW w:w="616" w:type="dxa"/>
          </w:tcPr>
          <w:p>
            <w:pPr>
              <w:pStyle w:val="6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7,14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9,52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</w:t>
            </w:r>
          </w:p>
        </w:tc>
        <w:tc>
          <w:tcPr>
            <w:tcW w:w="6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21"/>
              </w:rPr>
            </w:pPr>
          </w:p>
          <w:p>
            <w:pPr>
              <w:pStyle w:val="6"/>
              <w:spacing w:line="189" w:lineRule="exact"/>
              <w:ind w:left="96" w:right="70"/>
              <w:jc w:val="center"/>
              <w:rPr>
                <w:sz w:val="18"/>
              </w:rPr>
            </w:pPr>
            <w:r>
              <w:rPr>
                <w:sz w:val="18"/>
              </w:rPr>
              <w:t>83,33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853" w:type="dxa"/>
          </w:tcPr>
          <w:p>
            <w:pPr>
              <w:pStyle w:val="6"/>
              <w:tabs>
                <w:tab w:val="left" w:pos="1144"/>
                <w:tab w:val="left" w:pos="1194"/>
                <w:tab w:val="left" w:pos="1304"/>
                <w:tab w:val="left" w:pos="1354"/>
              </w:tabs>
              <w:ind w:left="221" w:right="95" w:hanging="219"/>
              <w:rPr>
                <w:sz w:val="18"/>
              </w:rPr>
            </w:pPr>
            <w:r>
              <w:rPr>
                <w:sz w:val="18"/>
              </w:rPr>
              <w:t>3. Kepastian (assurance): kemampuan dosen,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tenaga </w:t>
            </w:r>
            <w:r>
              <w:rPr>
                <w:sz w:val="18"/>
              </w:rPr>
              <w:t>kependidikan, dan pengelola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untuk </w:t>
            </w:r>
            <w:r>
              <w:rPr>
                <w:sz w:val="18"/>
              </w:rPr>
              <w:t xml:space="preserve">memberi keyakinan </w:t>
            </w:r>
            <w:r>
              <w:rPr>
                <w:spacing w:val="-3"/>
                <w:sz w:val="18"/>
              </w:rPr>
              <w:t xml:space="preserve">kepada </w:t>
            </w:r>
            <w:r>
              <w:rPr>
                <w:sz w:val="18"/>
              </w:rPr>
              <w:t>mahasiswa bahwa pelayanan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yang </w:t>
            </w:r>
            <w:r>
              <w:rPr>
                <w:sz w:val="18"/>
              </w:rPr>
              <w:t>diberikan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telah </w:t>
            </w:r>
            <w:r>
              <w:rPr>
                <w:sz w:val="18"/>
              </w:rPr>
              <w:t>sesuai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dengan</w:t>
            </w:r>
          </w:p>
          <w:p>
            <w:pPr>
              <w:pStyle w:val="6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ketentuan.</w:t>
            </w:r>
          </w:p>
        </w:tc>
        <w:tc>
          <w:tcPr>
            <w:tcW w:w="7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0,61</w:t>
            </w:r>
          </w:p>
        </w:tc>
        <w:tc>
          <w:tcPr>
            <w:tcW w:w="638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0,67</w:t>
            </w:r>
          </w:p>
        </w:tc>
        <w:tc>
          <w:tcPr>
            <w:tcW w:w="768" w:type="dxa"/>
          </w:tcPr>
          <w:p>
            <w:pPr>
              <w:pStyle w:val="6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Relibel</w:t>
            </w:r>
          </w:p>
        </w:tc>
        <w:tc>
          <w:tcPr>
            <w:tcW w:w="616" w:type="dxa"/>
          </w:tcPr>
          <w:p>
            <w:pPr>
              <w:pStyle w:val="6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11,90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6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0"/>
              <w:rPr>
                <w:b/>
                <w:sz w:val="15"/>
              </w:rPr>
            </w:pPr>
          </w:p>
          <w:p>
            <w:pPr>
              <w:pStyle w:val="6"/>
              <w:spacing w:line="187" w:lineRule="exact"/>
              <w:ind w:left="96" w:right="70"/>
              <w:jc w:val="center"/>
              <w:rPr>
                <w:sz w:val="18"/>
              </w:rPr>
            </w:pPr>
            <w:r>
              <w:rPr>
                <w:sz w:val="18"/>
              </w:rPr>
              <w:t>85,71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853" w:type="dxa"/>
          </w:tcPr>
          <w:p>
            <w:pPr>
              <w:pStyle w:val="6"/>
              <w:ind w:left="221" w:right="95" w:hanging="219"/>
              <w:jc w:val="both"/>
              <w:rPr>
                <w:sz w:val="18"/>
              </w:rPr>
            </w:pPr>
            <w:r>
              <w:rPr>
                <w:sz w:val="18"/>
              </w:rPr>
              <w:t>4. Empati (empathy): kesediaan/kepedul ian dosen, tenaga kependidikan, dan pengelola untuk memberi perhatian kepada</w:t>
            </w:r>
          </w:p>
          <w:p>
            <w:pPr>
              <w:pStyle w:val="6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7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0,63</w:t>
            </w:r>
          </w:p>
        </w:tc>
        <w:tc>
          <w:tcPr>
            <w:tcW w:w="638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0,58</w:t>
            </w:r>
          </w:p>
        </w:tc>
        <w:tc>
          <w:tcPr>
            <w:tcW w:w="768" w:type="dxa"/>
          </w:tcPr>
          <w:p>
            <w:pPr>
              <w:pStyle w:val="6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Relibel</w:t>
            </w:r>
          </w:p>
        </w:tc>
        <w:tc>
          <w:tcPr>
            <w:tcW w:w="616" w:type="dxa"/>
          </w:tcPr>
          <w:p>
            <w:pPr>
              <w:pStyle w:val="6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16,67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</w:t>
            </w:r>
          </w:p>
        </w:tc>
        <w:tc>
          <w:tcPr>
            <w:tcW w:w="6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line="187" w:lineRule="exact"/>
              <w:ind w:left="96" w:right="70"/>
              <w:jc w:val="center"/>
              <w:rPr>
                <w:sz w:val="18"/>
              </w:rPr>
            </w:pPr>
            <w:r>
              <w:rPr>
                <w:sz w:val="18"/>
              </w:rPr>
              <w:t>80,95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853" w:type="dxa"/>
          </w:tcPr>
          <w:p>
            <w:pPr>
              <w:pStyle w:val="6"/>
              <w:tabs>
                <w:tab w:val="left" w:pos="1194"/>
              </w:tabs>
              <w:ind w:left="221" w:right="95" w:hanging="219"/>
              <w:rPr>
                <w:sz w:val="18"/>
              </w:rPr>
            </w:pPr>
            <w:r>
              <w:rPr>
                <w:sz w:val="18"/>
              </w:rPr>
              <w:t>5. Tangible: penilaian mahasiswa terhadap kecukupan, aksesibitas, kualitas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sarana</w:t>
            </w:r>
          </w:p>
          <w:p>
            <w:pPr>
              <w:pStyle w:val="6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dan prasarana.</w:t>
            </w:r>
          </w:p>
        </w:tc>
        <w:tc>
          <w:tcPr>
            <w:tcW w:w="7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0,58</w:t>
            </w:r>
          </w:p>
        </w:tc>
        <w:tc>
          <w:tcPr>
            <w:tcW w:w="638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0,58</w:t>
            </w:r>
          </w:p>
        </w:tc>
        <w:tc>
          <w:tcPr>
            <w:tcW w:w="768" w:type="dxa"/>
          </w:tcPr>
          <w:p>
            <w:pPr>
              <w:pStyle w:val="6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Relibel</w:t>
            </w:r>
          </w:p>
        </w:tc>
        <w:tc>
          <w:tcPr>
            <w:tcW w:w="616" w:type="dxa"/>
          </w:tcPr>
          <w:p>
            <w:pPr>
              <w:pStyle w:val="6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4,76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6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7,14</w:t>
            </w:r>
          </w:p>
        </w:tc>
        <w:tc>
          <w:tcPr>
            <w:tcW w:w="61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</w:t>
            </w:r>
          </w:p>
        </w:tc>
        <w:tc>
          <w:tcPr>
            <w:tcW w:w="6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line="187" w:lineRule="exact"/>
              <w:ind w:left="96" w:right="70"/>
              <w:jc w:val="center"/>
              <w:rPr>
                <w:sz w:val="18"/>
              </w:rPr>
            </w:pPr>
            <w:r>
              <w:rPr>
                <w:sz w:val="18"/>
              </w:rPr>
              <w:t>88,10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6"/>
              <w:spacing w:before="93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866" w:type="dxa"/>
          </w:tcPr>
          <w:p>
            <w:pPr>
              <w:pStyle w:val="6"/>
              <w:spacing w:before="93" w:line="187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3,02</w:t>
            </w:r>
          </w:p>
        </w:tc>
        <w:tc>
          <w:tcPr>
            <w:tcW w:w="768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53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6"/>
              <w:spacing w:before="92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Varian Total</w:t>
            </w:r>
          </w:p>
        </w:tc>
        <w:tc>
          <w:tcPr>
            <w:tcW w:w="866" w:type="dxa"/>
          </w:tcPr>
          <w:p>
            <w:pPr>
              <w:pStyle w:val="6"/>
              <w:spacing w:before="92" w:line="187" w:lineRule="exact"/>
              <w:ind w:right="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5,19</w:t>
            </w:r>
          </w:p>
        </w:tc>
        <w:tc>
          <w:tcPr>
            <w:tcW w:w="768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70" w:type="dxa"/>
            <w:gridSpan w:val="13"/>
          </w:tcPr>
          <w:p>
            <w:pPr>
              <w:pStyle w:val="6"/>
              <w:spacing w:line="201" w:lineRule="exact"/>
              <w:ind w:left="3815" w:right="37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sampel = 42 orang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drawing>
          <wp:inline distT="0" distB="0" distL="0" distR="0">
            <wp:extent cx="5939155" cy="2792095"/>
            <wp:effectExtent l="4445" t="4445" r="1905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Keandalan (reability), kemampuan dosen, tenaga Pendidikan, dan pengelola dalam memberikan pelayanan</w:t>
      </w:r>
    </w:p>
    <w:p>
      <w:pPr>
        <w:pStyle w:val="7"/>
        <w:ind w:left="1080"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7"/>
        <w:ind w:left="1080"/>
        <w:rPr>
          <w:lang w:val="en-US"/>
        </w:rPr>
      </w:pPr>
    </w:p>
    <w:p>
      <w:pPr>
        <w:pStyle w:val="7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Daya tanggap (responsiveness), kemauan dari dosen , tenaga kependidikan, dan pengelola dalam membantu mahasiswa dan memberikan jasa dengan cepat</w:t>
      </w:r>
    </w:p>
    <w:p>
      <w:pPr>
        <w:pStyle w:val="7"/>
        <w:ind w:left="1080"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7"/>
        <w:ind w:left="1080"/>
        <w:rPr>
          <w:lang w:val="en-US"/>
        </w:rPr>
      </w:pPr>
    </w:p>
    <w:p>
      <w:pPr>
        <w:pStyle w:val="7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(assurance), kemampuan dosen, tenaga kependidikan dan pengelola untuk memberi keyakinan kepada mahasiswa bahwa pelayanan yang diberikan sesuai dengan kebutuhan</w:t>
      </w:r>
    </w:p>
    <w:p>
      <w:pPr>
        <w:pStyle w:val="7"/>
        <w:ind w:left="1080"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7"/>
        <w:ind w:left="1080"/>
        <w:rPr>
          <w:lang w:val="en-US"/>
        </w:rPr>
      </w:pPr>
    </w:p>
    <w:p>
      <w:pPr>
        <w:pStyle w:val="7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Empati (emphaty), kesediaan/kepedulian dosen, tenaga kependidikan, dan pengelola untuk memberi perhatian kepada mahasiswa</w:t>
      </w:r>
    </w:p>
    <w:p>
      <w:pPr>
        <w:pStyle w:val="7"/>
        <w:ind w:left="1080"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7"/>
        <w:ind w:left="1080"/>
        <w:rPr>
          <w:lang w:val="en-US"/>
        </w:rPr>
      </w:pPr>
    </w:p>
    <w:p>
      <w:pPr>
        <w:pStyle w:val="7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Tangible, penilaian mahasiswa terhadap kecukupan, aksesibilitas, kualitas, sarana dan prasarana</w:t>
      </w:r>
    </w:p>
    <w:p>
      <w:pPr>
        <w:pStyle w:val="7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spacing w:before="52"/>
        <w:ind w:left="100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TEMUAN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>Masih terlihat adanya dosen yang memahami standar isi pembelajaran hanya sebatas pengetahuan semata, sehingga implementasi isi pembelajaran adakalanya bukan menuju ke CPL program studi dan profil lulusan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>Masih terlihat adanya dosen yang memahami standar proses pembelajaran hanya sebatas pengetahuan semata, hal ini terlihat dari adanya implementasi proses pembelajaran yang tidak mencermikan karekteristik sebagaiamana yang telah ditetapkan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 xml:space="preserve">Hal lain yang ditemukenali turunan standart proses pembelajaran masih belum tersusun secara sistematis 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 xml:space="preserve">Masih terlihat adanya RPS yang merupakan </w:t>
      </w:r>
      <w:r>
        <w:rPr>
          <w:lang w:val="en-US"/>
        </w:rPr>
        <w:t>k</w:t>
      </w:r>
      <w:r>
        <w:t>opi paste, dan dikomunikasikan kepada mahasiswa di pertemuan ketiga dan keempat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>Masih terlihat adanya dosen yang memahami standar penilaian pembelajaran hanya sebatas pengetahuan semata, hal ini terlihat dari adanya implementasi penilaian belum sepenuhnya mencermikan standart penilaian pembelajaran yang telah dirumuskan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>Masih adanya penilaian pembelajaran yang tidak memenuhi memiliki memiliki rubrik penilaian disepakati bersama</w:t>
      </w:r>
    </w:p>
    <w:p>
      <w:pPr>
        <w:pStyle w:val="5"/>
        <w:numPr>
          <w:ilvl w:val="0"/>
          <w:numId w:val="2"/>
        </w:numPr>
        <w:jc w:val="both"/>
        <w:rPr>
          <w:rFonts w:ascii="Calibri"/>
          <w:lang w:val="en-US"/>
        </w:rPr>
      </w:pPr>
      <w:r>
        <w:t>Masih ada hasil penilaian pembelajaran yang diinut pada portal uqb.ac.id melebihi waktu yang ditetapkan</w:t>
      </w:r>
    </w:p>
    <w:p>
      <w:pPr>
        <w:pStyle w:val="5"/>
        <w:ind w:left="720"/>
        <w:jc w:val="both"/>
        <w:rPr>
          <w:rFonts w:ascii="Calibri"/>
          <w:lang w:val="en-US"/>
        </w:rPr>
      </w:pPr>
    </w:p>
    <w:p>
      <w:pPr>
        <w:pStyle w:val="5"/>
        <w:jc w:val="both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>
      <w:pPr>
        <w:pStyle w:val="5"/>
        <w:jc w:val="both"/>
        <w:rPr>
          <w:lang w:val="en-US"/>
        </w:rPr>
      </w:pPr>
      <w:r>
        <w:t>Melakukan pelatihan.worshop secara berkala dan berkelanjutan kepada dosen baik secara internal maupun mengirimkan dosen mengikuti pelatihan eksternal tentang pemahaman</w:t>
      </w:r>
      <w:r>
        <w:rPr>
          <w:lang w:val="en-US"/>
        </w:rPr>
        <w:t xml:space="preserve"> mengenai kelengkapan dokumen seperti:</w:t>
      </w:r>
    </w:p>
    <w:p>
      <w:pPr>
        <w:pStyle w:val="5"/>
        <w:numPr>
          <w:ilvl w:val="0"/>
          <w:numId w:val="3"/>
        </w:numPr>
        <w:jc w:val="both"/>
      </w:pPr>
      <w:r>
        <w:rPr>
          <w:lang w:val="en-US"/>
        </w:rPr>
        <w:t>Form RPS yang sudah ditentukan oleh SPMI beserta mensosialisasikan kapan RPS harus dikomunikasikan kepada mahasiswa</w:t>
      </w:r>
    </w:p>
    <w:p>
      <w:pPr>
        <w:pStyle w:val="5"/>
        <w:numPr>
          <w:ilvl w:val="0"/>
          <w:numId w:val="3"/>
        </w:numPr>
        <w:jc w:val="both"/>
      </w:pPr>
      <w:r>
        <w:rPr>
          <w:lang w:val="en-US"/>
        </w:rPr>
        <w:t>Form Tugas-tugas mahasiswa</w:t>
      </w:r>
    </w:p>
    <w:p>
      <w:pPr>
        <w:pStyle w:val="5"/>
        <w:numPr>
          <w:ilvl w:val="0"/>
          <w:numId w:val="3"/>
        </w:numPr>
        <w:jc w:val="both"/>
      </w:pPr>
      <w:r>
        <w:rPr>
          <w:lang w:val="en-US"/>
        </w:rPr>
        <w:t>From Soal Ujian Tengah Semester maupun Soal Ujian Akhir Semester</w:t>
      </w:r>
    </w:p>
    <w:p>
      <w:pPr>
        <w:pStyle w:val="5"/>
        <w:numPr>
          <w:ilvl w:val="0"/>
          <w:numId w:val="3"/>
        </w:numPr>
        <w:jc w:val="both"/>
      </w:pPr>
      <w:r>
        <w:rPr>
          <w:lang w:val="en-US"/>
        </w:rPr>
        <w:t>Form Penilaian</w:t>
      </w:r>
      <w:r>
        <w:t xml:space="preserve"> </w:t>
      </w:r>
      <w:r>
        <w:rPr>
          <w:lang w:val="en-US"/>
        </w:rPr>
        <w:t>yang sudah ditentukan oleh SPMI</w:t>
      </w:r>
    </w:p>
    <w:p>
      <w:pPr>
        <w:pStyle w:val="5"/>
        <w:rPr>
          <w:rFonts w:ascii="Calibri"/>
          <w:b/>
          <w:bCs/>
          <w:lang w:val="en-US"/>
        </w:rPr>
      </w:pPr>
    </w:p>
    <w:p>
      <w:pPr>
        <w:pStyle w:val="5"/>
        <w:rPr>
          <w:rFonts w:ascii="Calibri"/>
          <w:b/>
        </w:rPr>
      </w:pPr>
    </w:p>
    <w:p>
      <w:pPr>
        <w:pStyle w:val="5"/>
        <w:rPr>
          <w:rFonts w:ascii="Calibri"/>
          <w:b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</w:t>
      </w:r>
      <w:bookmarkStart w:id="0" w:name="_GoBack"/>
      <w:bookmarkEnd w:id="0"/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sectPr>
      <w:pgSz w:w="11910" w:h="16850"/>
      <w:pgMar w:top="1267" w:right="1022" w:bottom="1267" w:left="1339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5437A"/>
    <w:multiLevelType w:val="multilevel"/>
    <w:tmpl w:val="4CD543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4878"/>
    <w:multiLevelType w:val="multilevel"/>
    <w:tmpl w:val="601548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5E5B"/>
    <w:multiLevelType w:val="multilevel"/>
    <w:tmpl w:val="7BC15E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84A7D"/>
    <w:rsid w:val="158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7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Sheet11!$W$10:$W$14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Sheet11!$X$10:$X$14</c:f>
              <c:numCache>
                <c:formatCode>General</c:formatCode>
                <c:ptCount val="5"/>
                <c:pt idx="0">
                  <c:v>0</c:v>
                </c:pt>
                <c:pt idx="1">
                  <c:v>7.14</c:v>
                </c:pt>
                <c:pt idx="2">
                  <c:v>2.38</c:v>
                </c:pt>
                <c:pt idx="3">
                  <c:v>2.38</c:v>
                </c:pt>
                <c:pt idx="4">
                  <c:v>4.76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Sheet11!$Y$10:$Y$14</c:f>
              <c:numCache>
                <c:formatCode>General</c:formatCode>
                <c:ptCount val="5"/>
                <c:pt idx="0">
                  <c:v>23.81</c:v>
                </c:pt>
                <c:pt idx="1">
                  <c:v>9.52</c:v>
                </c:pt>
                <c:pt idx="2">
                  <c:v>11.9</c:v>
                </c:pt>
                <c:pt idx="3">
                  <c:v>16.67</c:v>
                </c:pt>
                <c:pt idx="4">
                  <c:v>7.14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Sheet11!$Z$10:$Z$14</c:f>
              <c:numCache>
                <c:formatCode>General</c:formatCode>
                <c:ptCount val="5"/>
                <c:pt idx="0">
                  <c:v>76.19</c:v>
                </c:pt>
                <c:pt idx="1">
                  <c:v>83.33</c:v>
                </c:pt>
                <c:pt idx="2">
                  <c:v>85.71</c:v>
                </c:pt>
                <c:pt idx="3">
                  <c:v>80.95</c:v>
                </c:pt>
                <c:pt idx="4">
                  <c:v>88.1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5821120"/>
        <c:axId val="777036304"/>
      </c:barChart>
      <c:catAx>
        <c:axId val="865821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7036304"/>
        <c:crosses val="autoZero"/>
        <c:auto val="1"/>
        <c:lblAlgn val="ctr"/>
        <c:lblOffset val="100"/>
        <c:noMultiLvlLbl val="0"/>
      </c:catAx>
      <c:valAx>
        <c:axId val="777036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2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Sheet11!$V$10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Sheet11!$W$10:$Z$10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23.81</c:v>
                </c:pt>
                <c:pt idx="3">
                  <c:v>76.19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77920"/>
        <c:axId val="786845664"/>
      </c:barChart>
      <c:catAx>
        <c:axId val="865777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45664"/>
        <c:crosses val="autoZero"/>
        <c:auto val="1"/>
        <c:lblAlgn val="ctr"/>
        <c:lblOffset val="100"/>
        <c:noMultiLvlLbl val="0"/>
      </c:catAx>
      <c:valAx>
        <c:axId val="78684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7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Sheet11!$V$11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Sheet11!$W$11:$Z$11</c:f>
              <c:numCache>
                <c:formatCode>General</c:formatCode>
                <c:ptCount val="4"/>
                <c:pt idx="0">
                  <c:v>0</c:v>
                </c:pt>
                <c:pt idx="1">
                  <c:v>7.14</c:v>
                </c:pt>
                <c:pt idx="2">
                  <c:v>9.52</c:v>
                </c:pt>
                <c:pt idx="3">
                  <c:v>83.33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7120"/>
        <c:axId val="971130512"/>
      </c:barChart>
      <c:catAx>
        <c:axId val="865787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0512"/>
        <c:crosses val="autoZero"/>
        <c:auto val="1"/>
        <c:lblAlgn val="ctr"/>
        <c:lblOffset val="100"/>
        <c:noMultiLvlLbl val="0"/>
      </c:catAx>
      <c:valAx>
        <c:axId val="97113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Sheet11!$V$12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Sheet11!$W$12:$Z$12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11.9</c:v>
                </c:pt>
                <c:pt idx="3">
                  <c:v>85.71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9520"/>
        <c:axId val="971130928"/>
      </c:barChart>
      <c:catAx>
        <c:axId val="865789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0928"/>
        <c:crosses val="autoZero"/>
        <c:auto val="1"/>
        <c:lblAlgn val="ctr"/>
        <c:lblOffset val="100"/>
        <c:noMultiLvlLbl val="0"/>
      </c:catAx>
      <c:valAx>
        <c:axId val="971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8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Sheet11!$V$13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Sheet11!$W$13:$Z$13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16.67</c:v>
                </c:pt>
                <c:pt idx="3">
                  <c:v>80.95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05920"/>
        <c:axId val="971135088"/>
      </c:barChart>
      <c:catAx>
        <c:axId val="865805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5088"/>
        <c:crosses val="autoZero"/>
        <c:auto val="1"/>
        <c:lblAlgn val="ctr"/>
        <c:lblOffset val="100"/>
        <c:noMultiLvlLbl val="0"/>
      </c:catAx>
      <c:valAx>
        <c:axId val="97113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0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Sheet11!$V$14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Sheet11!$W$14:$Z$14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7.14</c:v>
                </c:pt>
                <c:pt idx="3">
                  <c:v>88.1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97520"/>
        <c:axId val="786879360"/>
      </c:barChart>
      <c:catAx>
        <c:axId val="865797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9360"/>
        <c:crosses val="autoZero"/>
        <c:auto val="1"/>
        <c:lblAlgn val="ctr"/>
        <c:lblOffset val="100"/>
        <c:noMultiLvlLbl val="0"/>
      </c:catAx>
      <c:valAx>
        <c:axId val="78687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9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2022-05-19T09:19:00Z</dcterms:created>
  <dc:creator>Acer</dc:creator>
  <cp:lastModifiedBy>Acer</cp:lastModifiedBy>
  <dcterms:modified xsi:type="dcterms:W3CDTF">2022-05-19T09:22:22Z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8D85FB3DE6484DF28DC890C6690B6CFC</vt:lpwstr>
  </property>
</Properties>
</file>