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LAPORAN HASIL MONITORING DAN EVALUASI KEPUASAN MAHASISWA TERHADAP LAYANAN PENGELOLAAN KEUANGAN DAN SARANA PRASARANA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T.A. 2018/2019</w:t>
      </w: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1F497D"/>
          <w:sz w:val="28"/>
          <w:szCs w:val="28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PROGRAM STUDI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UNIVERSITAS QUALITY BERASTAGI</w:t>
      </w: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KEPUASAN MAHASISWA TERHADAP PENGELOLAAN KEUANGAN DAN SARANA PRASARANA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201</w:t>
      </w:r>
      <w:r>
        <w:rPr>
          <w:rFonts w:hint="default" w:ascii="Times New Roman" w:hAnsi="Times New Roman" w:cs="Times New Roman"/>
          <w:color w:val="1F2023"/>
          <w:lang w:val="en-US"/>
        </w:rPr>
        <w:t>8/2019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Maret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</w:t>
      </w:r>
      <w:r>
        <w:rPr>
          <w:rFonts w:hint="default" w:cs="Times New Roman"/>
          <w:lang w:val="en-US"/>
        </w:rPr>
        <w:t>Mahasiswa</w:t>
      </w:r>
      <w:r>
        <w:rPr>
          <w:rFonts w:hint="default" w:ascii="Times New Roman" w:hAnsi="Times New Roman" w:cs="Times New Roman"/>
          <w:lang w:val="en-US"/>
        </w:rPr>
        <w:t xml:space="preserve"> terhadap Layanan Pengelolaan Keuangan dan Sarana Prasarana di lingkungan </w:t>
      </w:r>
      <w:r>
        <w:rPr>
          <w:rFonts w:hint="default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</w:t>
      </w:r>
      <w:r>
        <w:rPr>
          <w:rFonts w:hint="default" w:cs="Times New Roman"/>
          <w:lang w:val="en-US"/>
        </w:rPr>
        <w:t>8/2019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Kepuasan Dosen dan Tenaga Kependidikan terhadap Layanan Pengelolaan dan Pengembangan SDM di lingkungan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pStyle w:val="5"/>
        <w:spacing w:before="212"/>
        <w:ind w:left="5914"/>
        <w:jc w:val="center"/>
        <w:rPr>
          <w:rFonts w:hint="default" w:ascii="Times New Roman" w:hAnsi="Times New Roman" w:cs="Times New Roman"/>
          <w:b/>
          <w:bCs/>
          <w:lang w:val="en-US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jc w:val="center"/>
        <w:rPr>
          <w:rFonts w:hint="default" w:cs="Times New Roman"/>
          <w:b/>
          <w:sz w:val="24"/>
          <w:szCs w:val="24"/>
          <w:lang w:val="en-US"/>
        </w:rPr>
      </w:pPr>
      <w:r>
        <w:rPr>
          <w:rFonts w:hint="default" w:cs="Times New Roman"/>
          <w:b/>
          <w:sz w:val="24"/>
          <w:szCs w:val="24"/>
          <w:lang w:val="en-US"/>
        </w:rPr>
        <w:t>BAB I</w:t>
      </w:r>
    </w:p>
    <w:p>
      <w:pPr>
        <w:pStyle w:val="5"/>
        <w:jc w:val="center"/>
        <w:rPr>
          <w:rFonts w:hint="default" w:cs="Times New Roman"/>
          <w:b/>
          <w:sz w:val="24"/>
          <w:szCs w:val="24"/>
          <w:lang w:val="en-US"/>
        </w:rPr>
      </w:pPr>
      <w:r>
        <w:rPr>
          <w:rFonts w:hint="default" w:cs="Times New Roman"/>
          <w:b/>
          <w:sz w:val="24"/>
          <w:szCs w:val="24"/>
          <w:lang w:val="en-US"/>
        </w:rPr>
        <w:t>PENDAHULUAN</w:t>
      </w:r>
    </w:p>
    <w:p>
      <w:pPr>
        <w:pStyle w:val="5"/>
        <w:jc w:val="center"/>
        <w:rPr>
          <w:rFonts w:hint="default" w:cs="Times New Roman"/>
          <w:b/>
          <w:sz w:val="24"/>
          <w:szCs w:val="24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841"/>
        </w:tabs>
        <w:spacing w:before="1"/>
        <w:ind w:hanging="433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412" w:right="356"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Evaluasi terhadap implementasi sistem mutu di lingkungan Universitas 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merupakan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pengukuran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sivitas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akademika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aspek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institusi.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dikarenakan, </w:t>
      </w:r>
      <w:r>
        <w:rPr>
          <w:rFonts w:hint="default" w:ascii="Times New Roman" w:hAnsi="Times New Roman" w:cs="Times New Roman"/>
          <w:b/>
        </w:rPr>
        <w:t>s</w:t>
      </w:r>
      <w:r>
        <w:rPr>
          <w:rFonts w:hint="default" w:ascii="Times New Roman" w:hAnsi="Times New Roman" w:cs="Times New Roman"/>
        </w:rPr>
        <w:t>alah satu keberhasilan pendidikan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perguruan tinggi 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pembelajaran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dosen.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 dilakukan oleh Lembaga Penjamin Mutu Internal (LPMI). Penjaminan mutu internal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bertujuan untuk menjamin mutu pendidikan tinggi yang diselenggarakan oleh Universitas 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 melalui tridharma perguruan tinggi dalam rangka mewujudkan visi serta memenuhi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kebutuhan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kepentingan internal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eksternal 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Quality.</w:t>
      </w:r>
    </w:p>
    <w:p>
      <w:pPr>
        <w:pStyle w:val="5"/>
        <w:spacing w:before="1" w:line="360" w:lineRule="auto"/>
        <w:ind w:left="412" w:right="362"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Keuangan,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prasarana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merupakan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keunggulan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pengadaan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 keuangan, sarana dan prasarana yang diperlukan untuk penyelenggaraan program-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program dalam perwujudan visi, penyelenggaraan misi dan pencapaian tujuan 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Berastagi. Pengelolaan sarana dan prasarana di 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meliputi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perencanaan,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pengadaan,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penggunaan,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pemeliharaan,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pemuktahiran,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inventaris dan penghapusan aset yang dilakukan secara baik, sehingga efektif dalam mendukung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kegiatan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penyelenggaraan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akademik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Pengelolaan dana 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</w:rPr>
        <w:t xml:space="preserve"> harus tercermin dalam dokumen 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 perencanaa, penerimaan, pengalokasian, pelaporan, audit, monitoring dan evaluasi 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tanggungjawab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penggunaan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melalui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mekanisme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transparan dan akuntabel. Keuangan, Sarana dan Prasarana salah satu instrument yang berperan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penting dalam keberlanjutan Fakutlas </w:t>
      </w:r>
      <w:r>
        <w:rPr>
          <w:rFonts w:hint="default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yang menunjang aktivitas akademik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seluruh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civitas.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mahasiswa,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dosen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terhadapa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keuangan, sarana dan prasarana dilakukan monitoring dan evaluasi yang diperlukan 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berkala.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Berastagi membuat laporan monitoring dan evaluasi kepuasan </w:t>
      </w:r>
      <w:r>
        <w:rPr>
          <w:rFonts w:hint="default" w:cs="Times New Roman"/>
          <w:lang w:val="en-US"/>
        </w:rPr>
        <w:t xml:space="preserve">mahasiswa terhadap </w:t>
      </w:r>
      <w:r>
        <w:rPr>
          <w:rFonts w:hint="default" w:ascii="Times New Roman" w:hAnsi="Times New Roman" w:cs="Times New Roman"/>
        </w:rPr>
        <w:t>Keuangan, Sarana dan Prasarana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pada awal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Perkuliahan Semester Genap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Tahun Ajaran 20</w:t>
      </w:r>
      <w:r>
        <w:rPr>
          <w:rFonts w:hint="default" w:cs="Times New Roman"/>
          <w:lang w:val="en-US"/>
        </w:rPr>
        <w:t>18/2019.</w:t>
      </w:r>
    </w:p>
    <w:p>
      <w:pPr>
        <w:pStyle w:val="2"/>
        <w:numPr>
          <w:ilvl w:val="1"/>
          <w:numId w:val="1"/>
        </w:numPr>
        <w:tabs>
          <w:tab w:val="left" w:pos="841"/>
        </w:tabs>
        <w:spacing w:before="221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4" w:line="362" w:lineRule="auto"/>
        <w:ind w:left="436" w:right="73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cs="Times New Roman"/>
          <w:spacing w:val="39"/>
          <w:lang w:val="en-US"/>
        </w:rPr>
        <w:t xml:space="preserve">kepuasan mahasiswa terhadap sarana prasarana di lingkungan prodi POR dilakukan dengan tujuan: </w:t>
      </w:r>
      <w:r>
        <w:rPr>
          <w:rFonts w:hint="default" w:ascii="Times New Roman" w:hAnsi="Times New Roman" w:cs="Times New Roman"/>
          <w:sz w:val="24"/>
        </w:rPr>
        <w:t>Untuk</w:t>
      </w:r>
      <w:r>
        <w:rPr>
          <w:rFonts w:hint="default" w:ascii="Times New Roman" w:hAnsi="Times New Roman" w:cs="Times New Roman"/>
          <w:spacing w:val="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mengetahui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tingkat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kepuasan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mahasiswa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keuangan,</w:t>
      </w:r>
      <w:r>
        <w:rPr>
          <w:rFonts w:hint="default" w:ascii="Times New Roman" w:hAnsi="Times New Roman" w:cs="Times New Roman"/>
          <w:spacing w:val="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dan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prasarana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</w:t>
      </w:r>
      <w:r>
        <w:rPr>
          <w:rFonts w:hint="default" w:cs="Times New Roman"/>
          <w:sz w:val="24"/>
          <w:lang w:val="en-US"/>
        </w:rPr>
        <w:t xml:space="preserve">i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</w:t>
      </w:r>
    </w:p>
    <w:p>
      <w:pPr>
        <w:pStyle w:val="5"/>
        <w:spacing w:before="3"/>
        <w:rPr>
          <w:rFonts w:hint="default" w:ascii="Times New Roman" w:hAnsi="Times New Roman" w:cs="Times New Roman"/>
          <w:sz w:val="35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35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35"/>
        </w:rPr>
      </w:pPr>
    </w:p>
    <w:p>
      <w:pPr>
        <w:pStyle w:val="5"/>
        <w:spacing w:before="3"/>
        <w:rPr>
          <w:rFonts w:hint="default" w:ascii="Times New Roman" w:hAnsi="Times New Roman" w:cs="Times New Roman"/>
          <w:sz w:val="35"/>
        </w:rPr>
      </w:pPr>
    </w:p>
    <w:p>
      <w:pPr>
        <w:pStyle w:val="2"/>
        <w:numPr>
          <w:ilvl w:val="1"/>
          <w:numId w:val="1"/>
        </w:numPr>
        <w:tabs>
          <w:tab w:val="left" w:pos="84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2" w:lineRule="auto"/>
        <w:ind w:left="412" w:right="354" w:firstLine="7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kepuasan</w:t>
      </w:r>
      <w:r>
        <w:rPr>
          <w:rFonts w:hint="default" w:cs="Times New Roman"/>
          <w:lang w:val="en-US"/>
        </w:rPr>
        <w:t xml:space="preserve"> mahasiswa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keuangan,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prasarana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KIP </w:t>
      </w:r>
      <w:r>
        <w:rPr>
          <w:rFonts w:hint="default" w:ascii="Times New Roman" w:hAnsi="Times New Roman" w:cs="Times New Roman"/>
        </w:rPr>
        <w:t>Universitas Quality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bertujuan untuk: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362" w:lineRule="auto"/>
        <w:ind w:right="30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3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Fakultas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 xml:space="preserve">KIP 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khusnya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prodi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POR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275" w:lineRule="exact"/>
        <w:ind w:hanging="36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Pelayanan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Pendidikan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yang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Berkualitas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3" w:line="357" w:lineRule="auto"/>
        <w:ind w:right="29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perbaikan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secara</w:t>
      </w:r>
      <w:r>
        <w:rPr>
          <w:rFonts w:hint="default" w:ascii="Times New Roman" w:hAnsi="Times New Roman" w:cs="Times New Roman"/>
          <w:spacing w:val="5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terus-menerus</w:t>
      </w:r>
      <w:r>
        <w:rPr>
          <w:rFonts w:hint="default" w:ascii="Times New Roman" w:hAnsi="Times New Roman" w:cs="Times New Roman"/>
          <w:spacing w:val="4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dalam</w:t>
      </w:r>
      <w:r>
        <w:rPr>
          <w:rFonts w:hint="default" w:ascii="Times New Roman" w:hAnsi="Times New Roman" w:cs="Times New Roman"/>
          <w:spacing w:val="5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peningkatan</w:t>
      </w:r>
      <w:r>
        <w:rPr>
          <w:rFonts w:hint="default" w:ascii="Times New Roman" w:hAnsi="Times New Roman" w:cs="Times New Roman"/>
          <w:spacing w:val="5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sarana,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prasarana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rPr>
          <w:rFonts w:hint="default" w:ascii="Times New Roman" w:hAnsi="Times New Roman" w:cs="Times New Roman"/>
          <w:sz w:val="37"/>
        </w:rPr>
      </w:pPr>
    </w:p>
    <w:p>
      <w:pPr>
        <w:pStyle w:val="2"/>
        <w:numPr>
          <w:ilvl w:val="1"/>
          <w:numId w:val="1"/>
        </w:numPr>
        <w:tabs>
          <w:tab w:val="left" w:pos="84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412" w:right="357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 dan Evaluasi keuangan, sarana dan prasarana ini dilaksanakan dilingkungan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internal melibatkan mahasiswa di 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 Instrument Monitoring dan pelaksanaan Monitoring pada Semester 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</w:rPr>
        <w:t xml:space="preserve">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Tahun Akademik 201</w:t>
      </w:r>
      <w:r>
        <w:rPr>
          <w:rFonts w:hint="default" w:cs="Times New Roman"/>
          <w:lang w:val="en-US"/>
        </w:rPr>
        <w:t>8/2019.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40" w:bottom="280" w:left="840" w:header="720" w:footer="720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BAB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II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METODE</w:t>
      </w:r>
      <w:r>
        <w:rPr>
          <w:rFonts w:hint="default" w:ascii="Times New Roman" w:hAnsi="Times New Roman" w:cs="Times New Roman"/>
          <w:lang w:val="en-US"/>
        </w:rPr>
        <w:t xml:space="preserve"> DAN HASIL EVALUASI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>mahasiswa</w:t>
      </w:r>
      <w:r>
        <w:rPr>
          <w:rFonts w:hint="default" w:ascii="Times New Roman" w:hAnsi="Times New Roman" w:cs="Times New Roman"/>
          <w:lang w:val="en-US"/>
        </w:rPr>
        <w:t xml:space="preserve"> terhadap layanan pengelolaan keuangan dan sarana prasarana di lingkungan 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 xml:space="preserve">Angket diberikan kepada </w:t>
      </w:r>
      <w:r>
        <w:rPr>
          <w:rFonts w:hint="default" w:cs="Times New Roman"/>
          <w:lang w:val="en-US"/>
        </w:rPr>
        <w:t>20</w:t>
      </w:r>
      <w:r>
        <w:rPr>
          <w:rFonts w:hint="default" w:ascii="Times New Roman" w:hAnsi="Times New Roman" w:cs="Times New Roman"/>
          <w:lang w:val="en-US"/>
        </w:rPr>
        <w:t xml:space="preserve"> ora</w:t>
      </w:r>
      <w:r>
        <w:rPr>
          <w:rFonts w:hint="default" w:cs="Times New Roman"/>
          <w:lang w:val="en-US"/>
        </w:rPr>
        <w:t>ng mahasiswa</w:t>
      </w:r>
      <w:r>
        <w:rPr>
          <w:rFonts w:hint="default" w:ascii="Times New Roman" w:hAnsi="Times New Roman" w:cs="Times New Roman"/>
          <w:lang w:val="en-US"/>
        </w:rPr>
        <w:t xml:space="preserve"> di lingkungan Prodi POR-FKIP UQB. Ada 8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449"/>
        <w:gridCol w:w="360"/>
        <w:gridCol w:w="360"/>
        <w:gridCol w:w="451"/>
        <w:gridCol w:w="432"/>
        <w:gridCol w:w="626"/>
        <w:gridCol w:w="626"/>
        <w:gridCol w:w="626"/>
        <w:gridCol w:w="569"/>
        <w:gridCol w:w="540"/>
        <w:gridCol w:w="540"/>
        <w:gridCol w:w="629"/>
        <w:gridCol w:w="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475" w:type="dxa"/>
            <w:vMerge w:val="restart"/>
            <w:shd w:val="clear" w:color="auto" w:fill="DAEDF3"/>
          </w:tcPr>
          <w:p>
            <w:pPr>
              <w:pStyle w:val="7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7"/>
              <w:spacing w:before="4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29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Pernyataan/Pertanyaan</w:t>
            </w:r>
          </w:p>
        </w:tc>
        <w:tc>
          <w:tcPr>
            <w:tcW w:w="3930" w:type="dxa"/>
            <w:gridSpan w:val="8"/>
            <w:shd w:val="clear" w:color="auto" w:fill="DAEDF3"/>
          </w:tcPr>
          <w:p>
            <w:pPr>
              <w:pStyle w:val="7"/>
              <w:spacing w:before="28"/>
              <w:ind w:left="97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Kepuasan Pengguna</w:t>
            </w:r>
          </w:p>
        </w:tc>
        <w:tc>
          <w:tcPr>
            <w:tcW w:w="1649" w:type="dxa"/>
            <w:gridSpan w:val="3"/>
            <w:vMerge w:val="restart"/>
            <w:shd w:val="clear" w:color="auto" w:fill="DAEDF3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7"/>
              <w:ind w:left="258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Uji Validitas</w:t>
            </w:r>
          </w:p>
        </w:tc>
        <w:tc>
          <w:tcPr>
            <w:tcW w:w="1142" w:type="dxa"/>
            <w:gridSpan w:val="2"/>
            <w:vMerge w:val="restart"/>
            <w:shd w:val="clear" w:color="auto" w:fill="DAEDF3"/>
          </w:tcPr>
          <w:p>
            <w:pPr>
              <w:pStyle w:val="7"/>
              <w:spacing w:before="148"/>
              <w:ind w:left="460" w:hanging="305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0"/>
              </w:rPr>
              <w:t xml:space="preserve">Reliabilit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75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gridSpan w:val="4"/>
            <w:shd w:val="clear" w:color="auto" w:fill="DAEDF3"/>
          </w:tcPr>
          <w:p>
            <w:pPr>
              <w:pStyle w:val="7"/>
              <w:spacing w:line="225" w:lineRule="exact"/>
              <w:ind w:left="314" w:right="31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Frekuensi</w:t>
            </w:r>
          </w:p>
          <w:p>
            <w:pPr>
              <w:pStyle w:val="7"/>
              <w:spacing w:line="215" w:lineRule="exact"/>
              <w:ind w:left="310" w:right="31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Nilai</w:t>
            </w:r>
          </w:p>
        </w:tc>
        <w:tc>
          <w:tcPr>
            <w:tcW w:w="2310" w:type="dxa"/>
            <w:gridSpan w:val="4"/>
            <w:shd w:val="clear" w:color="auto" w:fill="DAEDF3"/>
          </w:tcPr>
          <w:p>
            <w:pPr>
              <w:pStyle w:val="7"/>
              <w:spacing w:before="110"/>
              <w:ind w:left="38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Persentase Nilai</w:t>
            </w:r>
          </w:p>
        </w:tc>
        <w:tc>
          <w:tcPr>
            <w:tcW w:w="164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475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9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24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60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8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60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83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451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26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432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17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626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right="75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626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right="70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626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right="69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569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-16" w:right="-20" w:firstLine="21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 xml:space="preserve">r_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0"/>
              </w:rPr>
              <w:t>hitung</w:t>
            </w:r>
          </w:p>
        </w:tc>
        <w:tc>
          <w:tcPr>
            <w:tcW w:w="540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-6" w:right="49" w:firstLine="139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r_ tabel</w:t>
            </w:r>
          </w:p>
        </w:tc>
        <w:tc>
          <w:tcPr>
            <w:tcW w:w="540" w:type="dxa"/>
            <w:shd w:val="clear" w:color="auto" w:fill="DAEDF3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40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Ket.</w:t>
            </w:r>
          </w:p>
        </w:tc>
        <w:tc>
          <w:tcPr>
            <w:tcW w:w="629" w:type="dxa"/>
            <w:shd w:val="clear" w:color="auto" w:fill="DAEDF3"/>
          </w:tcPr>
          <w:p>
            <w:pPr>
              <w:pStyle w:val="7"/>
              <w:spacing w:before="110"/>
              <w:ind w:left="128" w:right="82" w:hanging="101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>Varia</w:t>
            </w: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</w:rPr>
              <w:t>n Btr</w:t>
            </w:r>
          </w:p>
        </w:tc>
        <w:tc>
          <w:tcPr>
            <w:tcW w:w="513" w:type="dxa"/>
            <w:shd w:val="clear" w:color="auto" w:fill="DAEDF3"/>
          </w:tcPr>
          <w:p>
            <w:pPr>
              <w:pStyle w:val="7"/>
              <w:ind w:left="-15" w:right="50" w:hanging="5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</w:rPr>
              <w:t xml:space="preserve">Reli a  </w:t>
            </w:r>
            <w:r>
              <w:rPr>
                <w:rFonts w:hint="default" w:ascii="Times New Roman" w:hAnsi="Times New Roman" w:cs="Times New Roman"/>
                <w:b/>
                <w:w w:val="95"/>
                <w:sz w:val="20"/>
              </w:rPr>
              <w:t>bilita</w:t>
            </w:r>
          </w:p>
          <w:p>
            <w:pPr>
              <w:pStyle w:val="7"/>
              <w:spacing w:line="214" w:lineRule="exact"/>
              <w:ind w:right="64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767"/>
              </w:tabs>
              <w:ind w:left="2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Aksesibilitas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Sarana</w:t>
            </w:r>
          </w:p>
          <w:p>
            <w:pPr>
              <w:pStyle w:val="7"/>
              <w:tabs>
                <w:tab w:val="left" w:pos="1767"/>
              </w:tabs>
              <w:spacing w:before="1" w:line="230" w:lineRule="atLeast"/>
              <w:ind w:left="230" w:right="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Pendidikan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0"/>
              </w:rPr>
              <w:t xml:space="preserve">Sarana </w:t>
            </w:r>
            <w:r>
              <w:rPr>
                <w:rFonts w:hint="default" w:ascii="Times New Roman" w:hAnsi="Times New Roman" w:cs="Times New Roman"/>
                <w:sz w:val="20"/>
              </w:rPr>
              <w:t>pembelajaran</w:t>
            </w:r>
          </w:p>
        </w:tc>
        <w:tc>
          <w:tcPr>
            <w:tcW w:w="44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451" w:type="dxa"/>
          </w:tcPr>
          <w:p>
            <w:pPr>
              <w:pStyle w:val="7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432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6" w:right="33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85</w:t>
            </w:r>
          </w:p>
        </w:tc>
        <w:tc>
          <w:tcPr>
            <w:tcW w:w="56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0.93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0.67</w:t>
            </w:r>
          </w:p>
        </w:tc>
        <w:tc>
          <w:tcPr>
            <w:tcW w:w="513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ind w:left="230" w:right="51" w:hanging="18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dan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Aksesibilitas </w:t>
            </w:r>
            <w:r>
              <w:rPr>
                <w:rFonts w:hint="default" w:ascii="Times New Roman" w:hAnsi="Times New Roman" w:cs="Times New Roman"/>
                <w:spacing w:val="-3"/>
                <w:sz w:val="20"/>
              </w:rPr>
              <w:t xml:space="preserve">Prasarana </w:t>
            </w:r>
            <w:r>
              <w:rPr>
                <w:rFonts w:hint="default" w:ascii="Times New Roman" w:hAnsi="Times New Roman" w:cs="Times New Roman"/>
                <w:sz w:val="20"/>
              </w:rPr>
              <w:t>Sarana penelitian</w:t>
            </w:r>
            <w:r>
              <w:rPr>
                <w:rFonts w:hint="default" w:ascii="Times New Roman" w:hAnsi="Times New Roman" w:cs="Times New Roman"/>
                <w:spacing w:val="1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>dan</w:t>
            </w:r>
          </w:p>
          <w:p>
            <w:pPr>
              <w:pStyle w:val="7"/>
              <w:spacing w:line="212" w:lineRule="exact"/>
              <w:ind w:left="23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PkM</w:t>
            </w:r>
          </w:p>
        </w:tc>
        <w:tc>
          <w:tcPr>
            <w:tcW w:w="449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51" w:type="dxa"/>
          </w:tcPr>
          <w:p>
            <w:pPr>
              <w:pStyle w:val="7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432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95</w:t>
            </w:r>
          </w:p>
        </w:tc>
        <w:tc>
          <w:tcPr>
            <w:tcW w:w="569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0.88</w:t>
            </w:r>
          </w:p>
        </w:tc>
        <w:tc>
          <w:tcPr>
            <w:tcW w:w="540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0.70</w:t>
            </w:r>
          </w:p>
        </w:tc>
        <w:tc>
          <w:tcPr>
            <w:tcW w:w="513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spacing w:line="227" w:lineRule="exact"/>
              <w:ind w:left="5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spacing w:line="230" w:lineRule="atLeast"/>
              <w:ind w:left="230" w:right="5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Aksesibilitas Sarana Teknologi Informasi dan Komunikasi</w:t>
            </w:r>
          </w:p>
        </w:tc>
        <w:tc>
          <w:tcPr>
            <w:tcW w:w="44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51" w:type="dxa"/>
          </w:tcPr>
          <w:p>
            <w:pPr>
              <w:pStyle w:val="7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432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90</w:t>
            </w:r>
          </w:p>
        </w:tc>
        <w:tc>
          <w:tcPr>
            <w:tcW w:w="56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1.00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29"/>
              </w:rPr>
            </w:pPr>
          </w:p>
          <w:p>
            <w:pPr>
              <w:pStyle w:val="7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0.97</w:t>
            </w:r>
          </w:p>
        </w:tc>
        <w:tc>
          <w:tcPr>
            <w:tcW w:w="513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475" w:type="dxa"/>
          </w:tcPr>
          <w:p>
            <w:pPr>
              <w:pStyle w:val="7"/>
              <w:spacing w:before="2" w:line="228" w:lineRule="exact"/>
              <w:ind w:left="230" w:right="44" w:hanging="18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4.Pengelolaan Pembiayaan Pendidikan</w:t>
            </w:r>
          </w:p>
        </w:tc>
        <w:tc>
          <w:tcPr>
            <w:tcW w:w="449" w:type="dxa"/>
          </w:tcPr>
          <w:p>
            <w:pPr>
              <w:pStyle w:val="7"/>
              <w:spacing w:before="112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12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12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51" w:type="dxa"/>
          </w:tcPr>
          <w:p>
            <w:pPr>
              <w:pStyle w:val="7"/>
              <w:spacing w:before="112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432" w:type="dxa"/>
          </w:tcPr>
          <w:p>
            <w:pPr>
              <w:pStyle w:val="7"/>
              <w:spacing w:before="112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spacing w:before="112"/>
              <w:ind w:left="33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spacing w:before="112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626" w:type="dxa"/>
          </w:tcPr>
          <w:p>
            <w:pPr>
              <w:pStyle w:val="7"/>
              <w:spacing w:before="112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90</w:t>
            </w:r>
          </w:p>
        </w:tc>
        <w:tc>
          <w:tcPr>
            <w:tcW w:w="569" w:type="dxa"/>
          </w:tcPr>
          <w:p>
            <w:pPr>
              <w:pStyle w:val="7"/>
              <w:spacing w:before="112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0.91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112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112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0.30</w:t>
            </w:r>
          </w:p>
        </w:tc>
        <w:tc>
          <w:tcPr>
            <w:tcW w:w="513" w:type="dxa"/>
          </w:tcPr>
          <w:p>
            <w:pPr>
              <w:pStyle w:val="7"/>
              <w:spacing w:before="2" w:line="228" w:lineRule="exact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5" w:type="dxa"/>
          </w:tcPr>
          <w:p>
            <w:pPr>
              <w:pStyle w:val="7"/>
              <w:spacing w:line="230" w:lineRule="exact"/>
              <w:ind w:left="230" w:right="51" w:hanging="18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5.Pengelolaan Pembiayaan Penelitian dan PkM</w:t>
            </w:r>
          </w:p>
        </w:tc>
        <w:tc>
          <w:tcPr>
            <w:tcW w:w="44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51" w:type="dxa"/>
          </w:tcPr>
          <w:p>
            <w:pPr>
              <w:pStyle w:val="7"/>
              <w:spacing w:before="1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432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spacing w:before="1"/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spacing w:before="1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626" w:type="dxa"/>
          </w:tcPr>
          <w:p>
            <w:pPr>
              <w:pStyle w:val="7"/>
              <w:spacing w:before="1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95</w:t>
            </w:r>
          </w:p>
        </w:tc>
        <w:tc>
          <w:tcPr>
            <w:tcW w:w="56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0.84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0.70</w:t>
            </w:r>
          </w:p>
        </w:tc>
        <w:tc>
          <w:tcPr>
            <w:tcW w:w="513" w:type="dxa"/>
          </w:tcPr>
          <w:p>
            <w:pPr>
              <w:pStyle w:val="7"/>
              <w:spacing w:before="112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6.Kecukupan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822"/>
              </w:tabs>
              <w:spacing w:line="230" w:lineRule="atLeast"/>
              <w:ind w:left="230" w:right="52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Aksesibilitas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Ruang </w:t>
            </w:r>
            <w:r>
              <w:rPr>
                <w:rFonts w:hint="default" w:ascii="Times New Roman" w:hAnsi="Times New Roman" w:cs="Times New Roman"/>
                <w:sz w:val="20"/>
              </w:rPr>
              <w:t>kantor</w:t>
            </w:r>
          </w:p>
        </w:tc>
        <w:tc>
          <w:tcPr>
            <w:tcW w:w="44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spacing w:before="1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51" w:type="dxa"/>
          </w:tcPr>
          <w:p>
            <w:pPr>
              <w:pStyle w:val="7"/>
              <w:spacing w:before="1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432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spacing w:before="1"/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spacing w:before="1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626" w:type="dxa"/>
          </w:tcPr>
          <w:p>
            <w:pPr>
              <w:pStyle w:val="7"/>
              <w:spacing w:before="1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95</w:t>
            </w:r>
          </w:p>
        </w:tc>
        <w:tc>
          <w:tcPr>
            <w:tcW w:w="56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0.93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spacing w:before="1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0.67</w:t>
            </w:r>
          </w:p>
        </w:tc>
        <w:tc>
          <w:tcPr>
            <w:tcW w:w="513" w:type="dxa"/>
          </w:tcPr>
          <w:p>
            <w:pPr>
              <w:pStyle w:val="7"/>
              <w:spacing w:before="112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7.Kecukupan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901"/>
              </w:tabs>
              <w:spacing w:before="6" w:line="228" w:lineRule="exact"/>
              <w:ind w:left="230" w:right="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Aksesibilitas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ruang </w:t>
            </w:r>
            <w:r>
              <w:rPr>
                <w:rFonts w:hint="default" w:ascii="Times New Roman" w:hAnsi="Times New Roman" w:cs="Times New Roman"/>
                <w:sz w:val="20"/>
              </w:rPr>
              <w:t>kuliah</w:t>
            </w:r>
          </w:p>
        </w:tc>
        <w:tc>
          <w:tcPr>
            <w:tcW w:w="44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51" w:type="dxa"/>
          </w:tcPr>
          <w:p>
            <w:pPr>
              <w:pStyle w:val="7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432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80</w:t>
            </w:r>
          </w:p>
        </w:tc>
        <w:tc>
          <w:tcPr>
            <w:tcW w:w="56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0.88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9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0.67</w:t>
            </w:r>
          </w:p>
        </w:tc>
        <w:tc>
          <w:tcPr>
            <w:tcW w:w="513" w:type="dxa"/>
          </w:tcPr>
          <w:p>
            <w:pPr>
              <w:pStyle w:val="7"/>
              <w:spacing w:before="112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5" w:type="dxa"/>
          </w:tcPr>
          <w:p>
            <w:pPr>
              <w:pStyle w:val="7"/>
              <w:tabs>
                <w:tab w:val="left" w:pos="2079"/>
              </w:tabs>
              <w:spacing w:line="227" w:lineRule="exact"/>
              <w:ind w:left="5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8.Kecukupan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dan</w:t>
            </w:r>
          </w:p>
          <w:p>
            <w:pPr>
              <w:pStyle w:val="7"/>
              <w:tabs>
                <w:tab w:val="left" w:pos="1901"/>
              </w:tabs>
              <w:spacing w:line="230" w:lineRule="atLeast"/>
              <w:ind w:left="230" w:right="5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Aksesibilitas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ruang </w:t>
            </w:r>
            <w:r>
              <w:rPr>
                <w:rFonts w:hint="default" w:ascii="Times New Roman" w:hAnsi="Times New Roman" w:cs="Times New Roman"/>
                <w:sz w:val="20"/>
              </w:rPr>
              <w:t>terbuka</w:t>
            </w:r>
          </w:p>
        </w:tc>
        <w:tc>
          <w:tcPr>
            <w:tcW w:w="44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6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360" w:type="dxa"/>
          </w:tcPr>
          <w:p>
            <w:pPr>
              <w:pStyle w:val="7"/>
              <w:ind w:left="124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1" w:type="dxa"/>
          </w:tcPr>
          <w:p>
            <w:pPr>
              <w:pStyle w:val="7"/>
              <w:ind w:left="167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432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5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26" w:type="dxa"/>
          </w:tcPr>
          <w:p>
            <w:pPr>
              <w:ind w:left="36" w:right="3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26" w:type="dxa"/>
          </w:tcPr>
          <w:p>
            <w:pPr>
              <w:pStyle w:val="7"/>
              <w:ind w:left="39" w:right="30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56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68" w:right="6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0.89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51" w:right="48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0.81</w:t>
            </w:r>
          </w:p>
        </w:tc>
        <w:tc>
          <w:tcPr>
            <w:tcW w:w="540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47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Valid</w:t>
            </w:r>
          </w:p>
        </w:tc>
        <w:tc>
          <w:tcPr>
            <w:tcW w:w="629" w:type="dxa"/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b/>
                <w:sz w:val="19"/>
              </w:rPr>
            </w:pPr>
          </w:p>
          <w:p>
            <w:pPr>
              <w:pStyle w:val="7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0.57</w:t>
            </w:r>
          </w:p>
        </w:tc>
        <w:tc>
          <w:tcPr>
            <w:tcW w:w="513" w:type="dxa"/>
          </w:tcPr>
          <w:p>
            <w:pPr>
              <w:pStyle w:val="7"/>
              <w:spacing w:before="112"/>
              <w:ind w:left="124" w:right="-3" w:hanging="9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05" w:type="dxa"/>
            <w:gridSpan w:val="9"/>
            <w:vMerge w:val="restart"/>
          </w:tcPr>
          <w:p>
            <w:pPr>
              <w:pStyle w:val="7"/>
              <w:spacing w:before="184"/>
              <w:ind w:left="184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Sampel = 20 orang mahasiswa</w:t>
            </w:r>
          </w:p>
        </w:tc>
        <w:tc>
          <w:tcPr>
            <w:tcW w:w="1649" w:type="dxa"/>
            <w:gridSpan w:val="3"/>
          </w:tcPr>
          <w:p>
            <w:pPr>
              <w:pStyle w:val="7"/>
              <w:spacing w:before="33"/>
              <w:ind w:left="50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Jumlah</w:t>
            </w:r>
          </w:p>
        </w:tc>
        <w:tc>
          <w:tcPr>
            <w:tcW w:w="629" w:type="dxa"/>
          </w:tcPr>
          <w:p>
            <w:pPr>
              <w:pStyle w:val="7"/>
              <w:spacing w:before="33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5.23</w:t>
            </w:r>
          </w:p>
        </w:tc>
        <w:tc>
          <w:tcPr>
            <w:tcW w:w="513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405" w:type="dxa"/>
            <w:gridSpan w:val="9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9" w:type="dxa"/>
            <w:gridSpan w:val="3"/>
          </w:tcPr>
          <w:p>
            <w:pPr>
              <w:pStyle w:val="7"/>
              <w:spacing w:before="33"/>
              <w:ind w:left="28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Varian Total</w:t>
            </w:r>
          </w:p>
        </w:tc>
        <w:tc>
          <w:tcPr>
            <w:tcW w:w="629" w:type="dxa"/>
          </w:tcPr>
          <w:p>
            <w:pPr>
              <w:pStyle w:val="7"/>
              <w:spacing w:before="33"/>
              <w:ind w:left="11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33.9</w:t>
            </w:r>
          </w:p>
        </w:tc>
        <w:tc>
          <w:tcPr>
            <w:tcW w:w="513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pStyle w:val="5"/>
        <w:spacing w:before="1"/>
        <w:ind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jc w:val="both"/>
        <w:rPr>
          <w:rFonts w:hint="default" w:ascii="Times New Roman" w:hAnsi="Times New Roman" w:cs="Times New Roman"/>
          <w:lang w:val="en-US"/>
        </w:rPr>
      </w:pPr>
      <w:r>
        <w:drawing>
          <wp:inline distT="0" distB="0" distL="114300" distR="114300">
            <wp:extent cx="6108065" cy="275526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highlight w:val="cyan"/>
          <w:lang w:val="en-US"/>
        </w:rPr>
      </w:pPr>
    </w:p>
    <w:p>
      <w:pPr>
        <w:pStyle w:val="5"/>
        <w:ind w:left="720"/>
        <w:rPr>
          <w:rFonts w:hint="default" w:ascii="Times New Roman" w:hAnsi="Times New Roman" w:cs="Times New Roman"/>
          <w:b w:val="0"/>
          <w:bCs w:val="0"/>
          <w:highlight w:val="none"/>
          <w:lang w:val="en-US"/>
        </w:rPr>
      </w:pPr>
      <w:r>
        <w:rPr>
          <w:rFonts w:hint="default" w:cs="Times New Roman"/>
          <w:b w:val="0"/>
          <w:bCs w:val="0"/>
          <w:highlight w:val="none"/>
          <w:lang w:val="en-US"/>
        </w:rPr>
        <w:t>Hasil monitoring dan evaluasi ditemukan bahwa mahasiswa masih merasa perlu perbaikan pada aspek kecukupan dan aksesibilitas ruang kuliah.</w:t>
      </w:r>
    </w:p>
    <w:p>
      <w:pPr>
        <w:pStyle w:val="5"/>
        <w:rPr>
          <w:rFonts w:hint="default" w:ascii="Times New Roman" w:hAnsi="Times New Roman" w:cs="Times New Roman"/>
          <w:b/>
          <w:highlight w:val="cyan"/>
        </w:rPr>
      </w:pPr>
    </w:p>
    <w:p>
      <w:pPr>
        <w:pStyle w:val="5"/>
        <w:rPr>
          <w:rFonts w:hint="default" w:ascii="Times New Roman" w:hAnsi="Times New Roman" w:cs="Times New Roman"/>
          <w:b/>
        </w:rPr>
      </w:pP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cs="Times New Roman"/>
          <w:b/>
          <w:sz w:val="24"/>
          <w:lang w:val="en-US"/>
        </w:rPr>
        <w:t xml:space="preserve">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hint="default" w:ascii="Times New Roman" w:hAnsi="Times New Roman" w:cs="Times New Roman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cs="Times New Roman"/>
          <w:b/>
          <w:bCs/>
          <w:sz w:val="24"/>
          <w:szCs w:val="24"/>
          <w:lang w:val="en-US"/>
        </w:rPr>
        <w:t>MAHASISWA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TERHADAP LAYANAN KEUANGAN DAN SARANA PRASARANA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rPr>
          <w:rFonts w:hint="default" w:ascii="Times New Roman" w:hAnsi="Times New Roman" w:cs="Times New Roman"/>
          <w:b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Pada hari, tanggal </w:t>
      </w:r>
      <w:r>
        <w:rPr>
          <w:rFonts w:hint="default" w:cs="Times New Roman"/>
          <w:b/>
          <w:bCs/>
          <w:sz w:val="24"/>
          <w:szCs w:val="24"/>
          <w:highlight w:val="none"/>
          <w:lang w:val="en-US"/>
        </w:rPr>
        <w:t xml:space="preserve">Dua Belas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bulan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Maret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tahun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Dua Ribu </w:t>
      </w:r>
      <w:r>
        <w:rPr>
          <w:rFonts w:hint="default" w:cs="Times New Roman"/>
          <w:b/>
          <w:sz w:val="24"/>
          <w:szCs w:val="24"/>
          <w:highlight w:val="none"/>
          <w:lang w:val="en-US"/>
        </w:rPr>
        <w:t xml:space="preserve">Sembilan Belas 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>secara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telah dilaksanakan Pembahasan Rencana Tindak Lanjut atas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HASIL MONITORING DAN 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 w:cs="Times New Roman"/>
          <w:b/>
          <w:bCs/>
          <w:sz w:val="24"/>
          <w:szCs w:val="24"/>
          <w:highlight w:val="none"/>
          <w:lang w:val="en-US"/>
        </w:rPr>
        <w:t>MAHASISWA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 TERHADAP LAYANAN KEUANGAN DAN SARANA PRASARANA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Dengan: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  <w:highlight w:val="cya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Program Studi Pendidikan Olahraga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ind w:left="720"/>
        <w:jc w:val="both"/>
        <w:rPr>
          <w:rFonts w:hint="default" w:cs="Times New Roman"/>
          <w:b w:val="0"/>
          <w:bCs w:val="0"/>
          <w:lang w:val="en-US"/>
        </w:rPr>
      </w:pPr>
      <w:r>
        <w:rPr>
          <w:rFonts w:hint="default" w:cs="Times New Roman"/>
          <w:b w:val="0"/>
          <w:bCs w:val="0"/>
          <w:lang w:val="en-US"/>
        </w:rPr>
        <w:t>Follow up kepada pihak terkait untuk menambah atau mengatur ulang aksesibilitas ruang kuliah.</w:t>
      </w:r>
    </w:p>
    <w:p>
      <w:pPr>
        <w:pStyle w:val="5"/>
        <w:ind w:left="720"/>
        <w:jc w:val="both"/>
        <w:rPr>
          <w:rFonts w:hint="default" w:cs="Times New Roman"/>
          <w:b w:val="0"/>
          <w:bCs w:val="0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NIDN. 0121069102</w:t>
      </w: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422B"/>
    <w:multiLevelType w:val="multilevel"/>
    <w:tmpl w:val="7776422B"/>
    <w:lvl w:ilvl="0" w:tentative="0">
      <w:start w:val="1"/>
      <w:numFmt w:val="decimal"/>
      <w:lvlText w:val="%1"/>
      <w:lvlJc w:val="left"/>
      <w:pPr>
        <w:ind w:left="840" w:hanging="432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012" w:hanging="360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19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6B02"/>
    <w:rsid w:val="19AF6B02"/>
    <w:rsid w:val="1C7B3ABF"/>
    <w:rsid w:val="23513ABA"/>
    <w:rsid w:val="372A3CF7"/>
    <w:rsid w:val="3C454184"/>
    <w:rsid w:val="71E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2022-06-09T05:02:00Z</dcterms:created>
  <dc:creator>Acer</dc:creator>
  <cp:lastModifiedBy>Acer</cp:lastModifiedBy>
  <dcterms:modified xsi:type="dcterms:W3CDTF">2022-06-23T12:29:49Z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08FC67552F684EB0A31A1F4631FCF59D</vt:lpwstr>
  </property>
</Properties>
</file>